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06" w:type="dxa"/>
        <w:tblCellMar>
          <w:left w:w="70" w:type="dxa"/>
          <w:right w:w="70" w:type="dxa"/>
        </w:tblCellMar>
        <w:tblLook w:val="04A0" w:firstRow="1" w:lastRow="0" w:firstColumn="1" w:lastColumn="0" w:noHBand="0" w:noVBand="1"/>
      </w:tblPr>
      <w:tblGrid>
        <w:gridCol w:w="451"/>
        <w:gridCol w:w="447"/>
        <w:gridCol w:w="445"/>
        <w:gridCol w:w="444"/>
        <w:gridCol w:w="444"/>
        <w:gridCol w:w="146"/>
        <w:gridCol w:w="146"/>
        <w:gridCol w:w="146"/>
        <w:gridCol w:w="146"/>
        <w:gridCol w:w="177"/>
        <w:gridCol w:w="177"/>
        <w:gridCol w:w="146"/>
        <w:gridCol w:w="146"/>
        <w:gridCol w:w="146"/>
        <w:gridCol w:w="181"/>
        <w:gridCol w:w="181"/>
        <w:gridCol w:w="1675"/>
        <w:gridCol w:w="146"/>
        <w:gridCol w:w="370"/>
        <w:gridCol w:w="372"/>
        <w:gridCol w:w="370"/>
        <w:gridCol w:w="372"/>
        <w:gridCol w:w="370"/>
        <w:gridCol w:w="370"/>
        <w:gridCol w:w="370"/>
        <w:gridCol w:w="370"/>
        <w:gridCol w:w="372"/>
        <w:gridCol w:w="370"/>
        <w:gridCol w:w="447"/>
      </w:tblGrid>
      <w:tr w:rsidR="00FA4DF5" w14:paraId="3DAFCFB0" w14:textId="77777777" w:rsidTr="00FA4DF5">
        <w:trPr>
          <w:trHeight w:val="375"/>
        </w:trPr>
        <w:tc>
          <w:tcPr>
            <w:tcW w:w="9406" w:type="dxa"/>
            <w:gridSpan w:val="29"/>
            <w:tcBorders>
              <w:top w:val="nil"/>
              <w:left w:val="nil"/>
              <w:bottom w:val="nil"/>
              <w:right w:val="nil"/>
            </w:tcBorders>
            <w:shd w:val="clear" w:color="auto" w:fill="auto"/>
            <w:noWrap/>
            <w:vAlign w:val="center"/>
            <w:hideMark/>
          </w:tcPr>
          <w:p w14:paraId="12D2D7DC" w14:textId="77777777" w:rsidR="00FA4DF5" w:rsidRDefault="00FA4DF5">
            <w:pPr>
              <w:jc w:val="center"/>
              <w:rPr>
                <w:b/>
                <w:bCs/>
                <w:color w:val="000000"/>
                <w:sz w:val="28"/>
                <w:szCs w:val="28"/>
                <w:u w:val="single"/>
              </w:rPr>
            </w:pPr>
            <w:r>
              <w:rPr>
                <w:b/>
                <w:bCs/>
                <w:color w:val="000000"/>
                <w:sz w:val="28"/>
                <w:szCs w:val="28"/>
                <w:u w:val="single"/>
              </w:rPr>
              <w:t>STANOVENÍ KATEGORIE STAVBY</w:t>
            </w:r>
          </w:p>
        </w:tc>
      </w:tr>
      <w:tr w:rsidR="00FA4DF5" w14:paraId="7885EB66" w14:textId="77777777" w:rsidTr="00FA4DF5">
        <w:trPr>
          <w:trHeight w:val="315"/>
        </w:trPr>
        <w:tc>
          <w:tcPr>
            <w:tcW w:w="9406" w:type="dxa"/>
            <w:gridSpan w:val="29"/>
            <w:tcBorders>
              <w:top w:val="nil"/>
              <w:left w:val="nil"/>
              <w:bottom w:val="nil"/>
              <w:right w:val="nil"/>
            </w:tcBorders>
            <w:shd w:val="clear" w:color="auto" w:fill="auto"/>
            <w:noWrap/>
            <w:vAlign w:val="center"/>
            <w:hideMark/>
          </w:tcPr>
          <w:p w14:paraId="1CBF78B1" w14:textId="77777777" w:rsidR="00FA4DF5" w:rsidRDefault="00FA4DF5">
            <w:pPr>
              <w:jc w:val="center"/>
              <w:rPr>
                <w:b/>
                <w:bCs/>
                <w:color w:val="000000"/>
                <w:u w:val="single"/>
              </w:rPr>
            </w:pPr>
            <w:r>
              <w:rPr>
                <w:b/>
                <w:bCs/>
                <w:color w:val="000000"/>
                <w:u w:val="single"/>
              </w:rPr>
              <w:t>Z HLEDISKA POŽÁRNÍ BEZPEČNOSTI A OCHRANY OBYVATELSTVA</w:t>
            </w:r>
          </w:p>
        </w:tc>
      </w:tr>
      <w:tr w:rsidR="00FA4DF5" w14:paraId="14B1D214" w14:textId="77777777" w:rsidTr="00FA4DF5">
        <w:trPr>
          <w:trHeight w:val="102"/>
        </w:trPr>
        <w:tc>
          <w:tcPr>
            <w:tcW w:w="451" w:type="dxa"/>
            <w:tcBorders>
              <w:top w:val="nil"/>
              <w:left w:val="nil"/>
              <w:bottom w:val="nil"/>
              <w:right w:val="nil"/>
            </w:tcBorders>
            <w:shd w:val="clear" w:color="auto" w:fill="auto"/>
            <w:noWrap/>
            <w:vAlign w:val="center"/>
            <w:hideMark/>
          </w:tcPr>
          <w:p w14:paraId="44A4A4BC" w14:textId="77777777" w:rsidR="00FA4DF5" w:rsidRDefault="00FA4DF5">
            <w:pPr>
              <w:jc w:val="center"/>
              <w:rPr>
                <w:b/>
                <w:bCs/>
                <w:color w:val="000000"/>
                <w:u w:val="single"/>
              </w:rPr>
            </w:pPr>
          </w:p>
        </w:tc>
        <w:tc>
          <w:tcPr>
            <w:tcW w:w="447" w:type="dxa"/>
            <w:tcBorders>
              <w:top w:val="nil"/>
              <w:left w:val="nil"/>
              <w:bottom w:val="nil"/>
              <w:right w:val="nil"/>
            </w:tcBorders>
            <w:shd w:val="clear" w:color="auto" w:fill="auto"/>
            <w:noWrap/>
            <w:vAlign w:val="center"/>
            <w:hideMark/>
          </w:tcPr>
          <w:p w14:paraId="7B50A3B9" w14:textId="77777777" w:rsidR="00FA4DF5" w:rsidRDefault="00FA4DF5">
            <w:pPr>
              <w:rPr>
                <w:sz w:val="20"/>
                <w:szCs w:val="20"/>
              </w:rPr>
            </w:pPr>
          </w:p>
        </w:tc>
        <w:tc>
          <w:tcPr>
            <w:tcW w:w="445" w:type="dxa"/>
            <w:tcBorders>
              <w:top w:val="nil"/>
              <w:left w:val="nil"/>
              <w:bottom w:val="nil"/>
              <w:right w:val="nil"/>
            </w:tcBorders>
            <w:shd w:val="clear" w:color="auto" w:fill="auto"/>
            <w:noWrap/>
            <w:vAlign w:val="center"/>
            <w:hideMark/>
          </w:tcPr>
          <w:p w14:paraId="5FA5F1D5" w14:textId="77777777" w:rsidR="00FA4DF5" w:rsidRDefault="00FA4DF5">
            <w:pPr>
              <w:rPr>
                <w:sz w:val="20"/>
                <w:szCs w:val="20"/>
              </w:rPr>
            </w:pPr>
          </w:p>
        </w:tc>
        <w:tc>
          <w:tcPr>
            <w:tcW w:w="444" w:type="dxa"/>
            <w:tcBorders>
              <w:top w:val="nil"/>
              <w:left w:val="nil"/>
              <w:bottom w:val="nil"/>
              <w:right w:val="nil"/>
            </w:tcBorders>
            <w:shd w:val="clear" w:color="auto" w:fill="auto"/>
            <w:noWrap/>
            <w:vAlign w:val="center"/>
            <w:hideMark/>
          </w:tcPr>
          <w:p w14:paraId="7C3B5B81" w14:textId="77777777" w:rsidR="00FA4DF5" w:rsidRDefault="00FA4DF5">
            <w:pPr>
              <w:rPr>
                <w:sz w:val="20"/>
                <w:szCs w:val="20"/>
              </w:rPr>
            </w:pPr>
          </w:p>
        </w:tc>
        <w:tc>
          <w:tcPr>
            <w:tcW w:w="444" w:type="dxa"/>
            <w:tcBorders>
              <w:top w:val="nil"/>
              <w:left w:val="nil"/>
              <w:bottom w:val="nil"/>
              <w:right w:val="nil"/>
            </w:tcBorders>
            <w:shd w:val="clear" w:color="auto" w:fill="auto"/>
            <w:noWrap/>
            <w:vAlign w:val="center"/>
            <w:hideMark/>
          </w:tcPr>
          <w:p w14:paraId="0C326FFC"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05FEBD70"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18B62F95"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204C1BF5"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22D93BA8"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02D2519C"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59917C47"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3D5988E3"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2EE535D2"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2A4E8C76" w14:textId="77777777" w:rsidR="00FA4DF5" w:rsidRDefault="00FA4DF5">
            <w:pPr>
              <w:rPr>
                <w:sz w:val="20"/>
                <w:szCs w:val="20"/>
              </w:rPr>
            </w:pPr>
          </w:p>
        </w:tc>
        <w:tc>
          <w:tcPr>
            <w:tcW w:w="122" w:type="dxa"/>
            <w:tcBorders>
              <w:top w:val="nil"/>
              <w:left w:val="nil"/>
              <w:bottom w:val="nil"/>
              <w:right w:val="nil"/>
            </w:tcBorders>
            <w:shd w:val="clear" w:color="auto" w:fill="auto"/>
            <w:noWrap/>
            <w:vAlign w:val="center"/>
            <w:hideMark/>
          </w:tcPr>
          <w:p w14:paraId="226F562C" w14:textId="77777777" w:rsidR="00FA4DF5" w:rsidRDefault="00FA4DF5">
            <w:pPr>
              <w:rPr>
                <w:sz w:val="20"/>
                <w:szCs w:val="20"/>
              </w:rPr>
            </w:pPr>
          </w:p>
        </w:tc>
        <w:tc>
          <w:tcPr>
            <w:tcW w:w="90" w:type="dxa"/>
            <w:tcBorders>
              <w:top w:val="nil"/>
              <w:left w:val="nil"/>
              <w:bottom w:val="nil"/>
              <w:right w:val="nil"/>
            </w:tcBorders>
            <w:shd w:val="clear" w:color="auto" w:fill="auto"/>
            <w:noWrap/>
            <w:vAlign w:val="center"/>
            <w:hideMark/>
          </w:tcPr>
          <w:p w14:paraId="24499E84" w14:textId="77777777" w:rsidR="00FA4DF5" w:rsidRDefault="00FA4DF5">
            <w:pPr>
              <w:rPr>
                <w:sz w:val="20"/>
                <w:szCs w:val="20"/>
              </w:rPr>
            </w:pPr>
          </w:p>
        </w:tc>
        <w:tc>
          <w:tcPr>
            <w:tcW w:w="1675" w:type="dxa"/>
            <w:tcBorders>
              <w:top w:val="nil"/>
              <w:left w:val="nil"/>
              <w:bottom w:val="nil"/>
              <w:right w:val="nil"/>
            </w:tcBorders>
            <w:shd w:val="clear" w:color="auto" w:fill="auto"/>
            <w:noWrap/>
            <w:vAlign w:val="center"/>
            <w:hideMark/>
          </w:tcPr>
          <w:p w14:paraId="37530133" w14:textId="77777777" w:rsidR="00FA4DF5" w:rsidRDefault="00FA4DF5">
            <w:pPr>
              <w:rPr>
                <w:sz w:val="20"/>
                <w:szCs w:val="20"/>
              </w:rPr>
            </w:pPr>
          </w:p>
        </w:tc>
        <w:tc>
          <w:tcPr>
            <w:tcW w:w="46" w:type="dxa"/>
            <w:tcBorders>
              <w:top w:val="nil"/>
              <w:left w:val="nil"/>
              <w:bottom w:val="nil"/>
              <w:right w:val="nil"/>
            </w:tcBorders>
            <w:shd w:val="clear" w:color="auto" w:fill="auto"/>
            <w:noWrap/>
            <w:vAlign w:val="center"/>
            <w:hideMark/>
          </w:tcPr>
          <w:p w14:paraId="0661D3CD"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720723E1"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16F868B9"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52D64FF5"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02C6402D"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0A98AD7B"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1E4404D4"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327A0BE1"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0F267D49"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52A120BD"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0A71D23C" w14:textId="77777777" w:rsidR="00FA4DF5" w:rsidRDefault="00FA4DF5">
            <w:pPr>
              <w:rPr>
                <w:sz w:val="20"/>
                <w:szCs w:val="20"/>
              </w:rPr>
            </w:pPr>
          </w:p>
        </w:tc>
        <w:tc>
          <w:tcPr>
            <w:tcW w:w="447" w:type="dxa"/>
            <w:tcBorders>
              <w:top w:val="nil"/>
              <w:left w:val="nil"/>
              <w:bottom w:val="nil"/>
              <w:right w:val="nil"/>
            </w:tcBorders>
            <w:shd w:val="clear" w:color="auto" w:fill="auto"/>
            <w:noWrap/>
            <w:vAlign w:val="center"/>
            <w:hideMark/>
          </w:tcPr>
          <w:p w14:paraId="4B9B023E" w14:textId="77777777" w:rsidR="00FA4DF5" w:rsidRDefault="00FA4DF5">
            <w:pPr>
              <w:rPr>
                <w:sz w:val="20"/>
                <w:szCs w:val="20"/>
              </w:rPr>
            </w:pPr>
          </w:p>
        </w:tc>
      </w:tr>
      <w:tr w:rsidR="00FA4DF5" w14:paraId="3922DA2A" w14:textId="77777777" w:rsidTr="00FA4DF5">
        <w:trPr>
          <w:trHeight w:val="270"/>
        </w:trPr>
        <w:tc>
          <w:tcPr>
            <w:tcW w:w="2231" w:type="dxa"/>
            <w:gridSpan w:val="5"/>
            <w:tcBorders>
              <w:top w:val="nil"/>
              <w:left w:val="nil"/>
              <w:bottom w:val="nil"/>
              <w:right w:val="nil"/>
            </w:tcBorders>
            <w:shd w:val="clear" w:color="auto" w:fill="auto"/>
            <w:noWrap/>
            <w:vAlign w:val="center"/>
            <w:hideMark/>
          </w:tcPr>
          <w:p w14:paraId="04D4FCAC" w14:textId="77777777" w:rsidR="00FA4DF5" w:rsidRDefault="00FA4DF5">
            <w:pPr>
              <w:jc w:val="right"/>
              <w:rPr>
                <w:color w:val="000000"/>
                <w:sz w:val="20"/>
                <w:szCs w:val="20"/>
              </w:rPr>
            </w:pPr>
            <w:r>
              <w:rPr>
                <w:color w:val="000000"/>
                <w:sz w:val="20"/>
                <w:szCs w:val="20"/>
              </w:rPr>
              <w:t>Název stavby:</w:t>
            </w:r>
          </w:p>
        </w:tc>
        <w:tc>
          <w:tcPr>
            <w:tcW w:w="7175" w:type="dxa"/>
            <w:gridSpan w:val="24"/>
            <w:tcBorders>
              <w:top w:val="nil"/>
              <w:left w:val="nil"/>
              <w:bottom w:val="nil"/>
              <w:right w:val="nil"/>
            </w:tcBorders>
            <w:shd w:val="clear" w:color="000000" w:fill="D9D9D9"/>
            <w:vAlign w:val="center"/>
            <w:hideMark/>
          </w:tcPr>
          <w:p w14:paraId="79EDF6D2" w14:textId="77777777" w:rsidR="00FA4DF5" w:rsidRDefault="00FA4DF5">
            <w:pPr>
              <w:rPr>
                <w:color w:val="000000"/>
                <w:sz w:val="20"/>
                <w:szCs w:val="20"/>
              </w:rPr>
            </w:pPr>
            <w:r>
              <w:rPr>
                <w:color w:val="000000"/>
                <w:sz w:val="20"/>
                <w:szCs w:val="20"/>
              </w:rPr>
              <w:t>2024077_Revitalizace Raiffeisenbank, Karlovy Vary</w:t>
            </w:r>
          </w:p>
        </w:tc>
      </w:tr>
      <w:tr w:rsidR="00FA4DF5" w14:paraId="7EE335FE" w14:textId="77777777" w:rsidTr="00FA4DF5">
        <w:trPr>
          <w:trHeight w:val="270"/>
        </w:trPr>
        <w:tc>
          <w:tcPr>
            <w:tcW w:w="2231" w:type="dxa"/>
            <w:gridSpan w:val="5"/>
            <w:tcBorders>
              <w:top w:val="nil"/>
              <w:left w:val="nil"/>
              <w:bottom w:val="nil"/>
              <w:right w:val="nil"/>
            </w:tcBorders>
            <w:shd w:val="clear" w:color="auto" w:fill="auto"/>
            <w:noWrap/>
            <w:vAlign w:val="center"/>
            <w:hideMark/>
          </w:tcPr>
          <w:p w14:paraId="09184B1D" w14:textId="77777777" w:rsidR="00FA4DF5" w:rsidRDefault="00FA4DF5">
            <w:pPr>
              <w:jc w:val="right"/>
              <w:rPr>
                <w:color w:val="000000"/>
                <w:sz w:val="20"/>
                <w:szCs w:val="20"/>
              </w:rPr>
            </w:pPr>
            <w:r>
              <w:rPr>
                <w:color w:val="000000"/>
                <w:sz w:val="20"/>
                <w:szCs w:val="20"/>
              </w:rPr>
              <w:t>Místo stavby:</w:t>
            </w:r>
          </w:p>
        </w:tc>
        <w:tc>
          <w:tcPr>
            <w:tcW w:w="7175" w:type="dxa"/>
            <w:gridSpan w:val="24"/>
            <w:tcBorders>
              <w:top w:val="nil"/>
              <w:left w:val="nil"/>
              <w:bottom w:val="nil"/>
              <w:right w:val="nil"/>
            </w:tcBorders>
            <w:shd w:val="clear" w:color="000000" w:fill="D9D9D9"/>
            <w:vAlign w:val="center"/>
            <w:hideMark/>
          </w:tcPr>
          <w:p w14:paraId="04064073" w14:textId="77777777" w:rsidR="00FA4DF5" w:rsidRDefault="00FA4DF5">
            <w:pPr>
              <w:rPr>
                <w:color w:val="000000"/>
                <w:sz w:val="20"/>
                <w:szCs w:val="20"/>
              </w:rPr>
            </w:pPr>
            <w:r>
              <w:rPr>
                <w:color w:val="000000"/>
                <w:sz w:val="20"/>
                <w:szCs w:val="20"/>
              </w:rPr>
              <w:t>Karlovy Vary, Krále Jiřího 909/39</w:t>
            </w:r>
          </w:p>
        </w:tc>
      </w:tr>
      <w:tr w:rsidR="00FA4DF5" w14:paraId="42B8322C" w14:textId="77777777" w:rsidTr="00FA4DF5">
        <w:trPr>
          <w:trHeight w:val="102"/>
        </w:trPr>
        <w:tc>
          <w:tcPr>
            <w:tcW w:w="451" w:type="dxa"/>
            <w:tcBorders>
              <w:top w:val="nil"/>
              <w:left w:val="nil"/>
              <w:bottom w:val="nil"/>
              <w:right w:val="nil"/>
            </w:tcBorders>
            <w:shd w:val="clear" w:color="auto" w:fill="auto"/>
            <w:noWrap/>
            <w:vAlign w:val="center"/>
            <w:hideMark/>
          </w:tcPr>
          <w:p w14:paraId="6D9B56A5" w14:textId="77777777" w:rsidR="00FA4DF5" w:rsidRDefault="00FA4DF5">
            <w:pPr>
              <w:rPr>
                <w:color w:val="000000"/>
                <w:sz w:val="20"/>
                <w:szCs w:val="20"/>
              </w:rPr>
            </w:pPr>
          </w:p>
        </w:tc>
        <w:tc>
          <w:tcPr>
            <w:tcW w:w="447" w:type="dxa"/>
            <w:tcBorders>
              <w:top w:val="nil"/>
              <w:left w:val="nil"/>
              <w:bottom w:val="nil"/>
              <w:right w:val="nil"/>
            </w:tcBorders>
            <w:shd w:val="clear" w:color="auto" w:fill="auto"/>
            <w:noWrap/>
            <w:vAlign w:val="center"/>
            <w:hideMark/>
          </w:tcPr>
          <w:p w14:paraId="7B57DE11" w14:textId="77777777" w:rsidR="00FA4DF5" w:rsidRDefault="00FA4DF5">
            <w:pPr>
              <w:jc w:val="right"/>
              <w:rPr>
                <w:sz w:val="20"/>
                <w:szCs w:val="20"/>
              </w:rPr>
            </w:pPr>
          </w:p>
        </w:tc>
        <w:tc>
          <w:tcPr>
            <w:tcW w:w="445" w:type="dxa"/>
            <w:tcBorders>
              <w:top w:val="nil"/>
              <w:left w:val="nil"/>
              <w:bottom w:val="nil"/>
              <w:right w:val="nil"/>
            </w:tcBorders>
            <w:shd w:val="clear" w:color="auto" w:fill="auto"/>
            <w:noWrap/>
            <w:vAlign w:val="center"/>
            <w:hideMark/>
          </w:tcPr>
          <w:p w14:paraId="74EF2231" w14:textId="77777777" w:rsidR="00FA4DF5" w:rsidRDefault="00FA4DF5">
            <w:pPr>
              <w:jc w:val="right"/>
              <w:rPr>
                <w:sz w:val="20"/>
                <w:szCs w:val="20"/>
              </w:rPr>
            </w:pPr>
          </w:p>
        </w:tc>
        <w:tc>
          <w:tcPr>
            <w:tcW w:w="444" w:type="dxa"/>
            <w:tcBorders>
              <w:top w:val="nil"/>
              <w:left w:val="nil"/>
              <w:bottom w:val="nil"/>
              <w:right w:val="nil"/>
            </w:tcBorders>
            <w:shd w:val="clear" w:color="auto" w:fill="auto"/>
            <w:noWrap/>
            <w:vAlign w:val="center"/>
            <w:hideMark/>
          </w:tcPr>
          <w:p w14:paraId="14FFA0EC" w14:textId="77777777" w:rsidR="00FA4DF5" w:rsidRDefault="00FA4DF5">
            <w:pPr>
              <w:jc w:val="right"/>
              <w:rPr>
                <w:sz w:val="20"/>
                <w:szCs w:val="20"/>
              </w:rPr>
            </w:pPr>
          </w:p>
        </w:tc>
        <w:tc>
          <w:tcPr>
            <w:tcW w:w="444" w:type="dxa"/>
            <w:tcBorders>
              <w:top w:val="nil"/>
              <w:left w:val="nil"/>
              <w:bottom w:val="nil"/>
              <w:right w:val="nil"/>
            </w:tcBorders>
            <w:shd w:val="clear" w:color="auto" w:fill="auto"/>
            <w:noWrap/>
            <w:vAlign w:val="center"/>
            <w:hideMark/>
          </w:tcPr>
          <w:p w14:paraId="2DCD3F99" w14:textId="77777777" w:rsidR="00FA4DF5" w:rsidRDefault="00FA4DF5">
            <w:pPr>
              <w:jc w:val="right"/>
              <w:rPr>
                <w:sz w:val="20"/>
                <w:szCs w:val="20"/>
              </w:rPr>
            </w:pPr>
          </w:p>
        </w:tc>
        <w:tc>
          <w:tcPr>
            <w:tcW w:w="108" w:type="dxa"/>
            <w:tcBorders>
              <w:top w:val="nil"/>
              <w:left w:val="nil"/>
              <w:bottom w:val="nil"/>
              <w:right w:val="nil"/>
            </w:tcBorders>
            <w:shd w:val="clear" w:color="auto" w:fill="auto"/>
            <w:noWrap/>
            <w:vAlign w:val="center"/>
            <w:hideMark/>
          </w:tcPr>
          <w:p w14:paraId="360D9D76" w14:textId="77777777" w:rsidR="00FA4DF5" w:rsidRDefault="00FA4DF5">
            <w:pPr>
              <w:jc w:val="right"/>
              <w:rPr>
                <w:sz w:val="20"/>
                <w:szCs w:val="20"/>
              </w:rPr>
            </w:pPr>
          </w:p>
        </w:tc>
        <w:tc>
          <w:tcPr>
            <w:tcW w:w="108" w:type="dxa"/>
            <w:tcBorders>
              <w:top w:val="nil"/>
              <w:left w:val="nil"/>
              <w:bottom w:val="nil"/>
              <w:right w:val="nil"/>
            </w:tcBorders>
            <w:shd w:val="clear" w:color="auto" w:fill="auto"/>
            <w:noWrap/>
            <w:vAlign w:val="center"/>
            <w:hideMark/>
          </w:tcPr>
          <w:p w14:paraId="435E7948"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1A5F8897"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5E07BCA1"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69DC5A08"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4576D42D"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7AB69211"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490EA091"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5132C765" w14:textId="77777777" w:rsidR="00FA4DF5" w:rsidRDefault="00FA4DF5">
            <w:pPr>
              <w:rPr>
                <w:sz w:val="20"/>
                <w:szCs w:val="20"/>
              </w:rPr>
            </w:pPr>
          </w:p>
        </w:tc>
        <w:tc>
          <w:tcPr>
            <w:tcW w:w="122" w:type="dxa"/>
            <w:tcBorders>
              <w:top w:val="nil"/>
              <w:left w:val="nil"/>
              <w:bottom w:val="nil"/>
              <w:right w:val="nil"/>
            </w:tcBorders>
            <w:shd w:val="clear" w:color="auto" w:fill="auto"/>
            <w:noWrap/>
            <w:vAlign w:val="center"/>
            <w:hideMark/>
          </w:tcPr>
          <w:p w14:paraId="24185D09" w14:textId="77777777" w:rsidR="00FA4DF5" w:rsidRDefault="00FA4DF5">
            <w:pPr>
              <w:rPr>
                <w:sz w:val="20"/>
                <w:szCs w:val="20"/>
              </w:rPr>
            </w:pPr>
          </w:p>
        </w:tc>
        <w:tc>
          <w:tcPr>
            <w:tcW w:w="90" w:type="dxa"/>
            <w:tcBorders>
              <w:top w:val="nil"/>
              <w:left w:val="nil"/>
              <w:bottom w:val="nil"/>
              <w:right w:val="nil"/>
            </w:tcBorders>
            <w:shd w:val="clear" w:color="auto" w:fill="auto"/>
            <w:noWrap/>
            <w:vAlign w:val="center"/>
            <w:hideMark/>
          </w:tcPr>
          <w:p w14:paraId="55B5F8F6" w14:textId="77777777" w:rsidR="00FA4DF5" w:rsidRDefault="00FA4DF5">
            <w:pPr>
              <w:rPr>
                <w:sz w:val="20"/>
                <w:szCs w:val="20"/>
              </w:rPr>
            </w:pPr>
          </w:p>
        </w:tc>
        <w:tc>
          <w:tcPr>
            <w:tcW w:w="1675" w:type="dxa"/>
            <w:tcBorders>
              <w:top w:val="nil"/>
              <w:left w:val="nil"/>
              <w:bottom w:val="nil"/>
              <w:right w:val="nil"/>
            </w:tcBorders>
            <w:shd w:val="clear" w:color="auto" w:fill="auto"/>
            <w:noWrap/>
            <w:vAlign w:val="center"/>
            <w:hideMark/>
          </w:tcPr>
          <w:p w14:paraId="411CD547" w14:textId="77777777" w:rsidR="00FA4DF5" w:rsidRDefault="00FA4DF5">
            <w:pPr>
              <w:rPr>
                <w:sz w:val="20"/>
                <w:szCs w:val="20"/>
              </w:rPr>
            </w:pPr>
          </w:p>
        </w:tc>
        <w:tc>
          <w:tcPr>
            <w:tcW w:w="46" w:type="dxa"/>
            <w:tcBorders>
              <w:top w:val="nil"/>
              <w:left w:val="nil"/>
              <w:bottom w:val="nil"/>
              <w:right w:val="nil"/>
            </w:tcBorders>
            <w:shd w:val="clear" w:color="auto" w:fill="auto"/>
            <w:noWrap/>
            <w:vAlign w:val="center"/>
            <w:hideMark/>
          </w:tcPr>
          <w:p w14:paraId="0A2ECB74"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403FDFA2"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6D73100F"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723BF0DA"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0093E07F"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44182102"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6CB71E65"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4815F7BC"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0DCDC8A2"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2A96A075"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6F96656B" w14:textId="77777777" w:rsidR="00FA4DF5" w:rsidRDefault="00FA4DF5">
            <w:pPr>
              <w:rPr>
                <w:sz w:val="20"/>
                <w:szCs w:val="20"/>
              </w:rPr>
            </w:pPr>
          </w:p>
        </w:tc>
        <w:tc>
          <w:tcPr>
            <w:tcW w:w="447" w:type="dxa"/>
            <w:tcBorders>
              <w:top w:val="nil"/>
              <w:left w:val="nil"/>
              <w:bottom w:val="nil"/>
              <w:right w:val="nil"/>
            </w:tcBorders>
            <w:shd w:val="clear" w:color="auto" w:fill="auto"/>
            <w:noWrap/>
            <w:vAlign w:val="center"/>
            <w:hideMark/>
          </w:tcPr>
          <w:p w14:paraId="77BDAD8F" w14:textId="77777777" w:rsidR="00FA4DF5" w:rsidRDefault="00FA4DF5">
            <w:pPr>
              <w:rPr>
                <w:sz w:val="20"/>
                <w:szCs w:val="20"/>
              </w:rPr>
            </w:pPr>
          </w:p>
        </w:tc>
      </w:tr>
      <w:tr w:rsidR="00FA4DF5" w14:paraId="10802D25" w14:textId="77777777" w:rsidTr="00FA4DF5">
        <w:trPr>
          <w:trHeight w:val="270"/>
        </w:trPr>
        <w:tc>
          <w:tcPr>
            <w:tcW w:w="3017" w:type="dxa"/>
            <w:gridSpan w:val="11"/>
            <w:tcBorders>
              <w:top w:val="nil"/>
              <w:left w:val="nil"/>
              <w:bottom w:val="nil"/>
              <w:right w:val="nil"/>
            </w:tcBorders>
            <w:shd w:val="clear" w:color="auto" w:fill="auto"/>
            <w:noWrap/>
            <w:vAlign w:val="center"/>
            <w:hideMark/>
          </w:tcPr>
          <w:p w14:paraId="2F699921" w14:textId="77777777" w:rsidR="00FA4DF5" w:rsidRDefault="00FA4DF5">
            <w:pPr>
              <w:jc w:val="right"/>
              <w:rPr>
                <w:b/>
                <w:bCs/>
                <w:color w:val="000000"/>
                <w:sz w:val="20"/>
                <w:szCs w:val="20"/>
              </w:rPr>
            </w:pPr>
            <w:r>
              <w:rPr>
                <w:b/>
                <w:bCs/>
                <w:color w:val="000000"/>
                <w:sz w:val="20"/>
                <w:szCs w:val="20"/>
              </w:rPr>
              <w:t>KATEGORIE STAVBY:</w:t>
            </w:r>
          </w:p>
        </w:tc>
        <w:tc>
          <w:tcPr>
            <w:tcW w:w="4460" w:type="dxa"/>
            <w:gridSpan w:val="13"/>
            <w:tcBorders>
              <w:top w:val="nil"/>
              <w:left w:val="nil"/>
              <w:bottom w:val="single" w:sz="4" w:space="0" w:color="auto"/>
              <w:right w:val="nil"/>
            </w:tcBorders>
            <w:shd w:val="clear" w:color="auto" w:fill="auto"/>
            <w:noWrap/>
            <w:vAlign w:val="center"/>
            <w:hideMark/>
          </w:tcPr>
          <w:p w14:paraId="012443FC" w14:textId="77777777" w:rsidR="00FA4DF5" w:rsidRDefault="00FA4DF5">
            <w:pPr>
              <w:jc w:val="center"/>
              <w:rPr>
                <w:b/>
                <w:bCs/>
                <w:color w:val="000000"/>
                <w:sz w:val="20"/>
                <w:szCs w:val="20"/>
              </w:rPr>
            </w:pPr>
            <w:r>
              <w:rPr>
                <w:b/>
                <w:bCs/>
                <w:color w:val="000000"/>
                <w:sz w:val="20"/>
                <w:szCs w:val="20"/>
              </w:rPr>
              <w:t>Stavba kategorie II</w:t>
            </w:r>
          </w:p>
        </w:tc>
        <w:tc>
          <w:tcPr>
            <w:tcW w:w="1112" w:type="dxa"/>
            <w:gridSpan w:val="3"/>
            <w:vMerge w:val="restart"/>
            <w:tcBorders>
              <w:top w:val="nil"/>
              <w:left w:val="nil"/>
              <w:bottom w:val="nil"/>
              <w:right w:val="nil"/>
            </w:tcBorders>
            <w:shd w:val="clear" w:color="auto" w:fill="auto"/>
            <w:noWrap/>
            <w:vAlign w:val="center"/>
            <w:hideMark/>
          </w:tcPr>
          <w:p w14:paraId="6750C87A" w14:textId="77777777" w:rsidR="00FA4DF5" w:rsidRDefault="00FA4DF5">
            <w:pPr>
              <w:jc w:val="center"/>
              <w:rPr>
                <w:b/>
                <w:bCs/>
                <w:color w:val="000000"/>
                <w:sz w:val="36"/>
                <w:szCs w:val="36"/>
              </w:rPr>
            </w:pPr>
            <w:r>
              <w:rPr>
                <w:b/>
                <w:bCs/>
                <w:color w:val="000000"/>
                <w:sz w:val="36"/>
                <w:szCs w:val="36"/>
              </w:rPr>
              <w:t>K II</w:t>
            </w:r>
          </w:p>
        </w:tc>
        <w:tc>
          <w:tcPr>
            <w:tcW w:w="817" w:type="dxa"/>
            <w:gridSpan w:val="2"/>
            <w:vMerge w:val="restart"/>
            <w:tcBorders>
              <w:top w:val="nil"/>
              <w:left w:val="nil"/>
              <w:bottom w:val="nil"/>
              <w:right w:val="nil"/>
            </w:tcBorders>
            <w:shd w:val="clear" w:color="auto" w:fill="auto"/>
            <w:noWrap/>
            <w:vAlign w:val="center"/>
            <w:hideMark/>
          </w:tcPr>
          <w:p w14:paraId="2127D76D" w14:textId="77777777" w:rsidR="00FA4DF5" w:rsidRDefault="00FA4DF5">
            <w:pPr>
              <w:jc w:val="center"/>
              <w:rPr>
                <w:b/>
                <w:bCs/>
                <w:color w:val="000000"/>
                <w:sz w:val="36"/>
                <w:szCs w:val="36"/>
              </w:rPr>
            </w:pPr>
            <w:r>
              <w:rPr>
                <w:b/>
                <w:bCs/>
                <w:color w:val="000000"/>
                <w:sz w:val="36"/>
                <w:szCs w:val="36"/>
              </w:rPr>
              <w:t>T3</w:t>
            </w:r>
          </w:p>
        </w:tc>
      </w:tr>
      <w:tr w:rsidR="00FA4DF5" w14:paraId="4EBAEE46" w14:textId="77777777" w:rsidTr="00FA4DF5">
        <w:trPr>
          <w:trHeight w:val="270"/>
        </w:trPr>
        <w:tc>
          <w:tcPr>
            <w:tcW w:w="3017" w:type="dxa"/>
            <w:gridSpan w:val="11"/>
            <w:tcBorders>
              <w:top w:val="nil"/>
              <w:left w:val="nil"/>
              <w:bottom w:val="nil"/>
              <w:right w:val="nil"/>
            </w:tcBorders>
            <w:shd w:val="clear" w:color="auto" w:fill="auto"/>
            <w:noWrap/>
            <w:vAlign w:val="center"/>
            <w:hideMark/>
          </w:tcPr>
          <w:p w14:paraId="20508EEE" w14:textId="77777777" w:rsidR="00FA4DF5" w:rsidRDefault="00FA4DF5">
            <w:pPr>
              <w:jc w:val="right"/>
              <w:rPr>
                <w:b/>
                <w:bCs/>
                <w:color w:val="000000"/>
                <w:sz w:val="20"/>
                <w:szCs w:val="20"/>
              </w:rPr>
            </w:pPr>
            <w:r>
              <w:rPr>
                <w:b/>
                <w:bCs/>
                <w:color w:val="000000"/>
                <w:sz w:val="20"/>
                <w:szCs w:val="20"/>
              </w:rPr>
              <w:t>TŘÍDA VYUŽITÍ:</w:t>
            </w:r>
          </w:p>
        </w:tc>
        <w:tc>
          <w:tcPr>
            <w:tcW w:w="4460" w:type="dxa"/>
            <w:gridSpan w:val="13"/>
            <w:tcBorders>
              <w:top w:val="nil"/>
              <w:left w:val="nil"/>
              <w:bottom w:val="single" w:sz="4" w:space="0" w:color="auto"/>
              <w:right w:val="nil"/>
            </w:tcBorders>
            <w:shd w:val="clear" w:color="auto" w:fill="auto"/>
            <w:noWrap/>
            <w:vAlign w:val="center"/>
            <w:hideMark/>
          </w:tcPr>
          <w:p w14:paraId="4D87F390" w14:textId="77777777" w:rsidR="00FA4DF5" w:rsidRDefault="00FA4DF5">
            <w:pPr>
              <w:jc w:val="center"/>
              <w:rPr>
                <w:b/>
                <w:bCs/>
                <w:color w:val="000000"/>
                <w:sz w:val="20"/>
                <w:szCs w:val="20"/>
              </w:rPr>
            </w:pPr>
            <w:r>
              <w:rPr>
                <w:b/>
                <w:bCs/>
                <w:color w:val="000000"/>
                <w:sz w:val="20"/>
                <w:szCs w:val="20"/>
              </w:rPr>
              <w:t>třetí třída využití</w:t>
            </w:r>
          </w:p>
        </w:tc>
        <w:tc>
          <w:tcPr>
            <w:tcW w:w="1112" w:type="dxa"/>
            <w:gridSpan w:val="3"/>
            <w:vMerge/>
            <w:tcBorders>
              <w:top w:val="nil"/>
              <w:left w:val="nil"/>
              <w:bottom w:val="nil"/>
              <w:right w:val="nil"/>
            </w:tcBorders>
            <w:vAlign w:val="center"/>
            <w:hideMark/>
          </w:tcPr>
          <w:p w14:paraId="7397B081" w14:textId="77777777" w:rsidR="00FA4DF5" w:rsidRDefault="00FA4DF5">
            <w:pPr>
              <w:rPr>
                <w:b/>
                <w:bCs/>
                <w:color w:val="000000"/>
                <w:sz w:val="36"/>
                <w:szCs w:val="36"/>
              </w:rPr>
            </w:pPr>
          </w:p>
        </w:tc>
        <w:tc>
          <w:tcPr>
            <w:tcW w:w="817" w:type="dxa"/>
            <w:gridSpan w:val="2"/>
            <w:vMerge/>
            <w:tcBorders>
              <w:top w:val="nil"/>
              <w:left w:val="nil"/>
              <w:bottom w:val="nil"/>
              <w:right w:val="nil"/>
            </w:tcBorders>
            <w:vAlign w:val="center"/>
            <w:hideMark/>
          </w:tcPr>
          <w:p w14:paraId="1D5B32DC" w14:textId="77777777" w:rsidR="00FA4DF5" w:rsidRDefault="00FA4DF5">
            <w:pPr>
              <w:rPr>
                <w:b/>
                <w:bCs/>
                <w:color w:val="000000"/>
                <w:sz w:val="36"/>
                <w:szCs w:val="36"/>
              </w:rPr>
            </w:pPr>
          </w:p>
        </w:tc>
      </w:tr>
      <w:tr w:rsidR="00FA4DF5" w14:paraId="0376A3A1" w14:textId="77777777" w:rsidTr="00FA4DF5">
        <w:trPr>
          <w:trHeight w:val="102"/>
        </w:trPr>
        <w:tc>
          <w:tcPr>
            <w:tcW w:w="451" w:type="dxa"/>
            <w:tcBorders>
              <w:top w:val="nil"/>
              <w:left w:val="nil"/>
              <w:bottom w:val="nil"/>
              <w:right w:val="nil"/>
            </w:tcBorders>
            <w:shd w:val="clear" w:color="auto" w:fill="auto"/>
            <w:noWrap/>
            <w:vAlign w:val="center"/>
            <w:hideMark/>
          </w:tcPr>
          <w:p w14:paraId="7453D0CA" w14:textId="77777777" w:rsidR="00FA4DF5" w:rsidRDefault="00FA4DF5">
            <w:pPr>
              <w:jc w:val="center"/>
              <w:rPr>
                <w:b/>
                <w:bCs/>
                <w:color w:val="000000"/>
                <w:sz w:val="20"/>
                <w:szCs w:val="20"/>
              </w:rPr>
            </w:pPr>
          </w:p>
        </w:tc>
        <w:tc>
          <w:tcPr>
            <w:tcW w:w="447" w:type="dxa"/>
            <w:tcBorders>
              <w:top w:val="nil"/>
              <w:left w:val="nil"/>
              <w:bottom w:val="nil"/>
              <w:right w:val="nil"/>
            </w:tcBorders>
            <w:shd w:val="clear" w:color="auto" w:fill="auto"/>
            <w:noWrap/>
            <w:vAlign w:val="center"/>
            <w:hideMark/>
          </w:tcPr>
          <w:p w14:paraId="4E7DBBA9" w14:textId="77777777" w:rsidR="00FA4DF5" w:rsidRDefault="00FA4DF5">
            <w:pPr>
              <w:jc w:val="right"/>
              <w:rPr>
                <w:sz w:val="20"/>
                <w:szCs w:val="20"/>
              </w:rPr>
            </w:pPr>
          </w:p>
        </w:tc>
        <w:tc>
          <w:tcPr>
            <w:tcW w:w="445" w:type="dxa"/>
            <w:tcBorders>
              <w:top w:val="nil"/>
              <w:left w:val="nil"/>
              <w:bottom w:val="nil"/>
              <w:right w:val="nil"/>
            </w:tcBorders>
            <w:shd w:val="clear" w:color="auto" w:fill="auto"/>
            <w:noWrap/>
            <w:vAlign w:val="center"/>
            <w:hideMark/>
          </w:tcPr>
          <w:p w14:paraId="489519FC" w14:textId="77777777" w:rsidR="00FA4DF5" w:rsidRDefault="00FA4DF5">
            <w:pPr>
              <w:rPr>
                <w:sz w:val="20"/>
                <w:szCs w:val="20"/>
              </w:rPr>
            </w:pPr>
          </w:p>
        </w:tc>
        <w:tc>
          <w:tcPr>
            <w:tcW w:w="444" w:type="dxa"/>
            <w:tcBorders>
              <w:top w:val="nil"/>
              <w:left w:val="nil"/>
              <w:bottom w:val="nil"/>
              <w:right w:val="nil"/>
            </w:tcBorders>
            <w:shd w:val="clear" w:color="auto" w:fill="auto"/>
            <w:noWrap/>
            <w:vAlign w:val="center"/>
            <w:hideMark/>
          </w:tcPr>
          <w:p w14:paraId="1B12BF5A" w14:textId="77777777" w:rsidR="00FA4DF5" w:rsidRDefault="00FA4DF5">
            <w:pPr>
              <w:rPr>
                <w:sz w:val="20"/>
                <w:szCs w:val="20"/>
              </w:rPr>
            </w:pPr>
          </w:p>
        </w:tc>
        <w:tc>
          <w:tcPr>
            <w:tcW w:w="444" w:type="dxa"/>
            <w:tcBorders>
              <w:top w:val="nil"/>
              <w:left w:val="nil"/>
              <w:bottom w:val="nil"/>
              <w:right w:val="nil"/>
            </w:tcBorders>
            <w:shd w:val="clear" w:color="auto" w:fill="auto"/>
            <w:noWrap/>
            <w:vAlign w:val="center"/>
            <w:hideMark/>
          </w:tcPr>
          <w:p w14:paraId="39439B44"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71A842B0"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5F13429C"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00EF5170"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7813E557"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2E522887"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20E9940B"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3BE12B09"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483CC539" w14:textId="77777777" w:rsidR="00FA4DF5" w:rsidRDefault="00FA4DF5">
            <w:pPr>
              <w:jc w:val="center"/>
              <w:rPr>
                <w:sz w:val="20"/>
                <w:szCs w:val="20"/>
              </w:rPr>
            </w:pPr>
          </w:p>
        </w:tc>
        <w:tc>
          <w:tcPr>
            <w:tcW w:w="101" w:type="dxa"/>
            <w:tcBorders>
              <w:top w:val="nil"/>
              <w:left w:val="nil"/>
              <w:bottom w:val="nil"/>
              <w:right w:val="nil"/>
            </w:tcBorders>
            <w:shd w:val="clear" w:color="auto" w:fill="auto"/>
            <w:noWrap/>
            <w:vAlign w:val="center"/>
            <w:hideMark/>
          </w:tcPr>
          <w:p w14:paraId="5E66E416" w14:textId="77777777" w:rsidR="00FA4DF5" w:rsidRDefault="00FA4DF5">
            <w:pPr>
              <w:jc w:val="center"/>
              <w:rPr>
                <w:sz w:val="20"/>
                <w:szCs w:val="20"/>
              </w:rPr>
            </w:pPr>
          </w:p>
        </w:tc>
        <w:tc>
          <w:tcPr>
            <w:tcW w:w="122" w:type="dxa"/>
            <w:tcBorders>
              <w:top w:val="nil"/>
              <w:left w:val="nil"/>
              <w:bottom w:val="nil"/>
              <w:right w:val="nil"/>
            </w:tcBorders>
            <w:shd w:val="clear" w:color="auto" w:fill="auto"/>
            <w:noWrap/>
            <w:vAlign w:val="center"/>
            <w:hideMark/>
          </w:tcPr>
          <w:p w14:paraId="2C490BAA" w14:textId="77777777" w:rsidR="00FA4DF5" w:rsidRDefault="00FA4DF5">
            <w:pPr>
              <w:jc w:val="center"/>
              <w:rPr>
                <w:sz w:val="20"/>
                <w:szCs w:val="20"/>
              </w:rPr>
            </w:pPr>
          </w:p>
        </w:tc>
        <w:tc>
          <w:tcPr>
            <w:tcW w:w="90" w:type="dxa"/>
            <w:tcBorders>
              <w:top w:val="nil"/>
              <w:left w:val="nil"/>
              <w:bottom w:val="nil"/>
              <w:right w:val="nil"/>
            </w:tcBorders>
            <w:shd w:val="clear" w:color="auto" w:fill="auto"/>
            <w:noWrap/>
            <w:vAlign w:val="center"/>
            <w:hideMark/>
          </w:tcPr>
          <w:p w14:paraId="09515346" w14:textId="77777777" w:rsidR="00FA4DF5" w:rsidRDefault="00FA4DF5">
            <w:pPr>
              <w:jc w:val="center"/>
              <w:rPr>
                <w:sz w:val="20"/>
                <w:szCs w:val="20"/>
              </w:rPr>
            </w:pPr>
          </w:p>
        </w:tc>
        <w:tc>
          <w:tcPr>
            <w:tcW w:w="1675" w:type="dxa"/>
            <w:tcBorders>
              <w:top w:val="nil"/>
              <w:left w:val="nil"/>
              <w:bottom w:val="nil"/>
              <w:right w:val="nil"/>
            </w:tcBorders>
            <w:shd w:val="clear" w:color="auto" w:fill="auto"/>
            <w:noWrap/>
            <w:vAlign w:val="center"/>
            <w:hideMark/>
          </w:tcPr>
          <w:p w14:paraId="0FF46818" w14:textId="77777777" w:rsidR="00FA4DF5" w:rsidRDefault="00FA4DF5">
            <w:pPr>
              <w:jc w:val="center"/>
              <w:rPr>
                <w:sz w:val="20"/>
                <w:szCs w:val="20"/>
              </w:rPr>
            </w:pPr>
          </w:p>
        </w:tc>
        <w:tc>
          <w:tcPr>
            <w:tcW w:w="46" w:type="dxa"/>
            <w:tcBorders>
              <w:top w:val="nil"/>
              <w:left w:val="nil"/>
              <w:bottom w:val="nil"/>
              <w:right w:val="nil"/>
            </w:tcBorders>
            <w:shd w:val="clear" w:color="auto" w:fill="auto"/>
            <w:noWrap/>
            <w:vAlign w:val="center"/>
            <w:hideMark/>
          </w:tcPr>
          <w:p w14:paraId="2E4A1505" w14:textId="77777777" w:rsidR="00FA4DF5" w:rsidRDefault="00FA4DF5">
            <w:pPr>
              <w:jc w:val="center"/>
              <w:rPr>
                <w:sz w:val="20"/>
                <w:szCs w:val="20"/>
              </w:rPr>
            </w:pPr>
          </w:p>
        </w:tc>
        <w:tc>
          <w:tcPr>
            <w:tcW w:w="370" w:type="dxa"/>
            <w:tcBorders>
              <w:top w:val="nil"/>
              <w:left w:val="nil"/>
              <w:bottom w:val="nil"/>
              <w:right w:val="nil"/>
            </w:tcBorders>
            <w:shd w:val="clear" w:color="auto" w:fill="auto"/>
            <w:noWrap/>
            <w:vAlign w:val="center"/>
            <w:hideMark/>
          </w:tcPr>
          <w:p w14:paraId="6B153269" w14:textId="77777777" w:rsidR="00FA4DF5" w:rsidRDefault="00FA4DF5">
            <w:pPr>
              <w:jc w:val="center"/>
              <w:rPr>
                <w:sz w:val="20"/>
                <w:szCs w:val="20"/>
              </w:rPr>
            </w:pPr>
          </w:p>
        </w:tc>
        <w:tc>
          <w:tcPr>
            <w:tcW w:w="372" w:type="dxa"/>
            <w:tcBorders>
              <w:top w:val="nil"/>
              <w:left w:val="nil"/>
              <w:bottom w:val="nil"/>
              <w:right w:val="nil"/>
            </w:tcBorders>
            <w:shd w:val="clear" w:color="auto" w:fill="auto"/>
            <w:noWrap/>
            <w:vAlign w:val="center"/>
            <w:hideMark/>
          </w:tcPr>
          <w:p w14:paraId="273BDEEE" w14:textId="77777777" w:rsidR="00FA4DF5" w:rsidRDefault="00FA4DF5">
            <w:pPr>
              <w:jc w:val="center"/>
              <w:rPr>
                <w:sz w:val="20"/>
                <w:szCs w:val="20"/>
              </w:rPr>
            </w:pPr>
          </w:p>
        </w:tc>
        <w:tc>
          <w:tcPr>
            <w:tcW w:w="370" w:type="dxa"/>
            <w:tcBorders>
              <w:top w:val="nil"/>
              <w:left w:val="nil"/>
              <w:bottom w:val="nil"/>
              <w:right w:val="nil"/>
            </w:tcBorders>
            <w:shd w:val="clear" w:color="auto" w:fill="auto"/>
            <w:noWrap/>
            <w:vAlign w:val="center"/>
            <w:hideMark/>
          </w:tcPr>
          <w:p w14:paraId="3EE422CF" w14:textId="77777777" w:rsidR="00FA4DF5" w:rsidRDefault="00FA4DF5">
            <w:pPr>
              <w:jc w:val="center"/>
              <w:rPr>
                <w:sz w:val="20"/>
                <w:szCs w:val="20"/>
              </w:rPr>
            </w:pPr>
          </w:p>
        </w:tc>
        <w:tc>
          <w:tcPr>
            <w:tcW w:w="372" w:type="dxa"/>
            <w:tcBorders>
              <w:top w:val="nil"/>
              <w:left w:val="nil"/>
              <w:bottom w:val="nil"/>
              <w:right w:val="nil"/>
            </w:tcBorders>
            <w:shd w:val="clear" w:color="auto" w:fill="auto"/>
            <w:noWrap/>
            <w:vAlign w:val="center"/>
            <w:hideMark/>
          </w:tcPr>
          <w:p w14:paraId="51182A94" w14:textId="77777777" w:rsidR="00FA4DF5" w:rsidRDefault="00FA4DF5">
            <w:pPr>
              <w:jc w:val="center"/>
              <w:rPr>
                <w:sz w:val="20"/>
                <w:szCs w:val="20"/>
              </w:rPr>
            </w:pPr>
          </w:p>
        </w:tc>
        <w:tc>
          <w:tcPr>
            <w:tcW w:w="370" w:type="dxa"/>
            <w:tcBorders>
              <w:top w:val="nil"/>
              <w:left w:val="nil"/>
              <w:bottom w:val="nil"/>
              <w:right w:val="nil"/>
            </w:tcBorders>
            <w:shd w:val="clear" w:color="auto" w:fill="auto"/>
            <w:noWrap/>
            <w:vAlign w:val="center"/>
            <w:hideMark/>
          </w:tcPr>
          <w:p w14:paraId="27263F44" w14:textId="77777777" w:rsidR="00FA4DF5" w:rsidRDefault="00FA4DF5">
            <w:pPr>
              <w:jc w:val="center"/>
              <w:rPr>
                <w:sz w:val="20"/>
                <w:szCs w:val="20"/>
              </w:rPr>
            </w:pPr>
          </w:p>
        </w:tc>
        <w:tc>
          <w:tcPr>
            <w:tcW w:w="370" w:type="dxa"/>
            <w:tcBorders>
              <w:top w:val="nil"/>
              <w:left w:val="nil"/>
              <w:bottom w:val="nil"/>
              <w:right w:val="nil"/>
            </w:tcBorders>
            <w:shd w:val="clear" w:color="auto" w:fill="auto"/>
            <w:noWrap/>
            <w:vAlign w:val="center"/>
            <w:hideMark/>
          </w:tcPr>
          <w:p w14:paraId="0155E2D5" w14:textId="77777777" w:rsidR="00FA4DF5" w:rsidRDefault="00FA4DF5">
            <w:pPr>
              <w:jc w:val="center"/>
              <w:rPr>
                <w:sz w:val="20"/>
                <w:szCs w:val="20"/>
              </w:rPr>
            </w:pPr>
          </w:p>
        </w:tc>
        <w:tc>
          <w:tcPr>
            <w:tcW w:w="370" w:type="dxa"/>
            <w:tcBorders>
              <w:top w:val="nil"/>
              <w:left w:val="nil"/>
              <w:bottom w:val="nil"/>
              <w:right w:val="nil"/>
            </w:tcBorders>
            <w:shd w:val="clear" w:color="auto" w:fill="auto"/>
            <w:noWrap/>
            <w:vAlign w:val="center"/>
            <w:hideMark/>
          </w:tcPr>
          <w:p w14:paraId="56EBB1A9" w14:textId="77777777" w:rsidR="00FA4DF5" w:rsidRDefault="00FA4DF5">
            <w:pPr>
              <w:jc w:val="center"/>
              <w:rPr>
                <w:sz w:val="20"/>
                <w:szCs w:val="20"/>
              </w:rPr>
            </w:pPr>
          </w:p>
        </w:tc>
        <w:tc>
          <w:tcPr>
            <w:tcW w:w="370" w:type="dxa"/>
            <w:tcBorders>
              <w:top w:val="nil"/>
              <w:left w:val="nil"/>
              <w:bottom w:val="nil"/>
              <w:right w:val="nil"/>
            </w:tcBorders>
            <w:shd w:val="clear" w:color="auto" w:fill="auto"/>
            <w:noWrap/>
            <w:vAlign w:val="center"/>
            <w:hideMark/>
          </w:tcPr>
          <w:p w14:paraId="2B0B87A6"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745FB5C8"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16CDA8A1" w14:textId="77777777" w:rsidR="00FA4DF5" w:rsidRDefault="00FA4DF5">
            <w:pPr>
              <w:rPr>
                <w:sz w:val="20"/>
                <w:szCs w:val="20"/>
              </w:rPr>
            </w:pPr>
          </w:p>
        </w:tc>
        <w:tc>
          <w:tcPr>
            <w:tcW w:w="447" w:type="dxa"/>
            <w:tcBorders>
              <w:top w:val="nil"/>
              <w:left w:val="nil"/>
              <w:bottom w:val="nil"/>
              <w:right w:val="nil"/>
            </w:tcBorders>
            <w:shd w:val="clear" w:color="auto" w:fill="auto"/>
            <w:noWrap/>
            <w:vAlign w:val="center"/>
            <w:hideMark/>
          </w:tcPr>
          <w:p w14:paraId="6ACADC69" w14:textId="77777777" w:rsidR="00FA4DF5" w:rsidRDefault="00FA4DF5">
            <w:pPr>
              <w:rPr>
                <w:sz w:val="20"/>
                <w:szCs w:val="20"/>
              </w:rPr>
            </w:pPr>
          </w:p>
        </w:tc>
      </w:tr>
      <w:tr w:rsidR="00FA4DF5" w14:paraId="30661D88" w14:textId="77777777" w:rsidTr="00FA4DF5">
        <w:trPr>
          <w:trHeight w:val="102"/>
        </w:trPr>
        <w:tc>
          <w:tcPr>
            <w:tcW w:w="451" w:type="dxa"/>
            <w:tcBorders>
              <w:top w:val="nil"/>
              <w:left w:val="nil"/>
              <w:bottom w:val="nil"/>
              <w:right w:val="nil"/>
            </w:tcBorders>
            <w:shd w:val="clear" w:color="auto" w:fill="auto"/>
            <w:noWrap/>
            <w:vAlign w:val="center"/>
            <w:hideMark/>
          </w:tcPr>
          <w:p w14:paraId="79701826" w14:textId="77777777" w:rsidR="00FA4DF5" w:rsidRDefault="00FA4DF5">
            <w:pPr>
              <w:rPr>
                <w:sz w:val="20"/>
                <w:szCs w:val="20"/>
              </w:rPr>
            </w:pPr>
          </w:p>
        </w:tc>
        <w:tc>
          <w:tcPr>
            <w:tcW w:w="447" w:type="dxa"/>
            <w:tcBorders>
              <w:top w:val="nil"/>
              <w:left w:val="nil"/>
              <w:bottom w:val="nil"/>
              <w:right w:val="nil"/>
            </w:tcBorders>
            <w:shd w:val="clear" w:color="auto" w:fill="auto"/>
            <w:noWrap/>
            <w:vAlign w:val="center"/>
            <w:hideMark/>
          </w:tcPr>
          <w:p w14:paraId="5C5B60A4" w14:textId="77777777" w:rsidR="00FA4DF5" w:rsidRDefault="00FA4DF5">
            <w:pPr>
              <w:rPr>
                <w:sz w:val="20"/>
                <w:szCs w:val="20"/>
              </w:rPr>
            </w:pPr>
          </w:p>
        </w:tc>
        <w:tc>
          <w:tcPr>
            <w:tcW w:w="445" w:type="dxa"/>
            <w:tcBorders>
              <w:top w:val="nil"/>
              <w:left w:val="nil"/>
              <w:bottom w:val="nil"/>
              <w:right w:val="nil"/>
            </w:tcBorders>
            <w:shd w:val="clear" w:color="auto" w:fill="auto"/>
            <w:noWrap/>
            <w:vAlign w:val="center"/>
            <w:hideMark/>
          </w:tcPr>
          <w:p w14:paraId="389750B7" w14:textId="77777777" w:rsidR="00FA4DF5" w:rsidRDefault="00FA4DF5">
            <w:pPr>
              <w:rPr>
                <w:sz w:val="20"/>
                <w:szCs w:val="20"/>
              </w:rPr>
            </w:pPr>
          </w:p>
        </w:tc>
        <w:tc>
          <w:tcPr>
            <w:tcW w:w="444" w:type="dxa"/>
            <w:tcBorders>
              <w:top w:val="nil"/>
              <w:left w:val="nil"/>
              <w:bottom w:val="nil"/>
              <w:right w:val="nil"/>
            </w:tcBorders>
            <w:shd w:val="clear" w:color="auto" w:fill="auto"/>
            <w:noWrap/>
            <w:vAlign w:val="center"/>
            <w:hideMark/>
          </w:tcPr>
          <w:p w14:paraId="20004DDB" w14:textId="77777777" w:rsidR="00FA4DF5" w:rsidRDefault="00FA4DF5">
            <w:pPr>
              <w:rPr>
                <w:sz w:val="20"/>
                <w:szCs w:val="20"/>
              </w:rPr>
            </w:pPr>
          </w:p>
        </w:tc>
        <w:tc>
          <w:tcPr>
            <w:tcW w:w="444" w:type="dxa"/>
            <w:tcBorders>
              <w:top w:val="nil"/>
              <w:left w:val="nil"/>
              <w:bottom w:val="nil"/>
              <w:right w:val="nil"/>
            </w:tcBorders>
            <w:shd w:val="clear" w:color="auto" w:fill="auto"/>
            <w:noWrap/>
            <w:vAlign w:val="center"/>
            <w:hideMark/>
          </w:tcPr>
          <w:p w14:paraId="46B78813"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09EC1F9E"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4285944A"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1996B4F3"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45A88E7E"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6E6F44CC"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3DAF3BD2"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0696CEEB"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628CC8DD"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4E02A8AA" w14:textId="77777777" w:rsidR="00FA4DF5" w:rsidRDefault="00FA4DF5">
            <w:pPr>
              <w:rPr>
                <w:sz w:val="20"/>
                <w:szCs w:val="20"/>
              </w:rPr>
            </w:pPr>
          </w:p>
        </w:tc>
        <w:tc>
          <w:tcPr>
            <w:tcW w:w="122" w:type="dxa"/>
            <w:tcBorders>
              <w:top w:val="nil"/>
              <w:left w:val="nil"/>
              <w:bottom w:val="nil"/>
              <w:right w:val="nil"/>
            </w:tcBorders>
            <w:shd w:val="clear" w:color="auto" w:fill="auto"/>
            <w:noWrap/>
            <w:vAlign w:val="center"/>
            <w:hideMark/>
          </w:tcPr>
          <w:p w14:paraId="570D6E8D" w14:textId="77777777" w:rsidR="00FA4DF5" w:rsidRDefault="00FA4DF5">
            <w:pPr>
              <w:rPr>
                <w:sz w:val="20"/>
                <w:szCs w:val="20"/>
              </w:rPr>
            </w:pPr>
          </w:p>
        </w:tc>
        <w:tc>
          <w:tcPr>
            <w:tcW w:w="90" w:type="dxa"/>
            <w:tcBorders>
              <w:top w:val="nil"/>
              <w:left w:val="nil"/>
              <w:bottom w:val="nil"/>
              <w:right w:val="nil"/>
            </w:tcBorders>
            <w:shd w:val="clear" w:color="auto" w:fill="auto"/>
            <w:noWrap/>
            <w:vAlign w:val="center"/>
            <w:hideMark/>
          </w:tcPr>
          <w:p w14:paraId="39570D89" w14:textId="77777777" w:rsidR="00FA4DF5" w:rsidRDefault="00FA4DF5">
            <w:pPr>
              <w:rPr>
                <w:sz w:val="20"/>
                <w:szCs w:val="20"/>
              </w:rPr>
            </w:pPr>
          </w:p>
        </w:tc>
        <w:tc>
          <w:tcPr>
            <w:tcW w:w="1675" w:type="dxa"/>
            <w:tcBorders>
              <w:top w:val="nil"/>
              <w:left w:val="nil"/>
              <w:bottom w:val="nil"/>
              <w:right w:val="nil"/>
            </w:tcBorders>
            <w:shd w:val="clear" w:color="auto" w:fill="auto"/>
            <w:noWrap/>
            <w:vAlign w:val="center"/>
            <w:hideMark/>
          </w:tcPr>
          <w:p w14:paraId="5BAF1357" w14:textId="77777777" w:rsidR="00FA4DF5" w:rsidRDefault="00FA4DF5">
            <w:pPr>
              <w:rPr>
                <w:sz w:val="20"/>
                <w:szCs w:val="20"/>
              </w:rPr>
            </w:pPr>
          </w:p>
        </w:tc>
        <w:tc>
          <w:tcPr>
            <w:tcW w:w="46" w:type="dxa"/>
            <w:tcBorders>
              <w:top w:val="nil"/>
              <w:left w:val="nil"/>
              <w:bottom w:val="nil"/>
              <w:right w:val="nil"/>
            </w:tcBorders>
            <w:shd w:val="clear" w:color="auto" w:fill="auto"/>
            <w:noWrap/>
            <w:vAlign w:val="center"/>
            <w:hideMark/>
          </w:tcPr>
          <w:p w14:paraId="6685D0E3"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36AB7DF7"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6C0C3CFA"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2C8C3144"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194ACDA8"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65C0523D"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1E1FCE72"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453FAE8D"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37182779"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34AF150A"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3BC6F06F" w14:textId="77777777" w:rsidR="00FA4DF5" w:rsidRDefault="00FA4DF5">
            <w:pPr>
              <w:rPr>
                <w:sz w:val="20"/>
                <w:szCs w:val="20"/>
              </w:rPr>
            </w:pPr>
          </w:p>
        </w:tc>
        <w:tc>
          <w:tcPr>
            <w:tcW w:w="447" w:type="dxa"/>
            <w:tcBorders>
              <w:top w:val="nil"/>
              <w:left w:val="nil"/>
              <w:bottom w:val="nil"/>
              <w:right w:val="nil"/>
            </w:tcBorders>
            <w:shd w:val="clear" w:color="auto" w:fill="auto"/>
            <w:noWrap/>
            <w:vAlign w:val="center"/>
            <w:hideMark/>
          </w:tcPr>
          <w:p w14:paraId="5A0296F5" w14:textId="77777777" w:rsidR="00FA4DF5" w:rsidRDefault="00FA4DF5">
            <w:pPr>
              <w:rPr>
                <w:sz w:val="20"/>
                <w:szCs w:val="20"/>
              </w:rPr>
            </w:pPr>
          </w:p>
        </w:tc>
      </w:tr>
      <w:tr w:rsidR="00FA4DF5" w14:paraId="6639AD8F" w14:textId="77777777" w:rsidTr="00FA4DF5">
        <w:trPr>
          <w:trHeight w:val="270"/>
        </w:trPr>
        <w:tc>
          <w:tcPr>
            <w:tcW w:w="6365" w:type="dxa"/>
            <w:gridSpan w:val="21"/>
            <w:tcBorders>
              <w:top w:val="single" w:sz="8" w:space="0" w:color="auto"/>
              <w:left w:val="single" w:sz="8" w:space="0" w:color="auto"/>
              <w:bottom w:val="nil"/>
              <w:right w:val="nil"/>
            </w:tcBorders>
            <w:shd w:val="clear" w:color="auto" w:fill="auto"/>
            <w:noWrap/>
            <w:vAlign w:val="center"/>
            <w:hideMark/>
          </w:tcPr>
          <w:p w14:paraId="5887ACCB" w14:textId="77777777" w:rsidR="00FA4DF5" w:rsidRDefault="00FA4DF5">
            <w:pPr>
              <w:rPr>
                <w:b/>
                <w:bCs/>
                <w:color w:val="000000"/>
                <w:sz w:val="20"/>
                <w:szCs w:val="20"/>
                <w:u w:val="single"/>
              </w:rPr>
            </w:pPr>
            <w:r>
              <w:rPr>
                <w:b/>
                <w:bCs/>
                <w:color w:val="000000"/>
                <w:sz w:val="20"/>
                <w:szCs w:val="20"/>
                <w:u w:val="single"/>
              </w:rPr>
              <w:t>Základní údaje o stavbě (budově)</w:t>
            </w:r>
          </w:p>
        </w:tc>
        <w:tc>
          <w:tcPr>
            <w:tcW w:w="3041" w:type="dxa"/>
            <w:gridSpan w:val="8"/>
            <w:tcBorders>
              <w:top w:val="single" w:sz="8" w:space="0" w:color="auto"/>
              <w:left w:val="nil"/>
              <w:bottom w:val="nil"/>
              <w:right w:val="single" w:sz="8" w:space="0" w:color="000000"/>
            </w:tcBorders>
            <w:shd w:val="clear" w:color="auto" w:fill="auto"/>
            <w:noWrap/>
            <w:vAlign w:val="center"/>
            <w:hideMark/>
          </w:tcPr>
          <w:p w14:paraId="67FCBF09" w14:textId="77777777" w:rsidR="00FA4DF5" w:rsidRDefault="00FA4DF5">
            <w:pPr>
              <w:jc w:val="center"/>
              <w:rPr>
                <w:b/>
                <w:bCs/>
                <w:color w:val="70AD47"/>
                <w:sz w:val="22"/>
                <w:szCs w:val="22"/>
                <w:u w:val="single"/>
              </w:rPr>
            </w:pPr>
            <w:r>
              <w:rPr>
                <w:b/>
                <w:bCs/>
                <w:color w:val="70AD47"/>
                <w:sz w:val="22"/>
                <w:szCs w:val="22"/>
                <w:u w:val="single"/>
              </w:rPr>
              <w:t> </w:t>
            </w:r>
          </w:p>
        </w:tc>
      </w:tr>
      <w:tr w:rsidR="00FA4DF5" w14:paraId="289ACB38" w14:textId="77777777" w:rsidTr="00FA4DF5">
        <w:trPr>
          <w:trHeight w:val="270"/>
        </w:trPr>
        <w:tc>
          <w:tcPr>
            <w:tcW w:w="2663" w:type="dxa"/>
            <w:gridSpan w:val="9"/>
            <w:tcBorders>
              <w:top w:val="nil"/>
              <w:left w:val="single" w:sz="8" w:space="0" w:color="auto"/>
              <w:bottom w:val="nil"/>
              <w:right w:val="nil"/>
            </w:tcBorders>
            <w:shd w:val="clear" w:color="auto" w:fill="auto"/>
            <w:noWrap/>
            <w:vAlign w:val="center"/>
            <w:hideMark/>
          </w:tcPr>
          <w:p w14:paraId="4DC4395D" w14:textId="77777777" w:rsidR="00FA4DF5" w:rsidRDefault="00FA4DF5">
            <w:pPr>
              <w:jc w:val="right"/>
              <w:rPr>
                <w:color w:val="000000"/>
                <w:sz w:val="20"/>
                <w:szCs w:val="20"/>
              </w:rPr>
            </w:pPr>
            <w:r>
              <w:rPr>
                <w:color w:val="000000"/>
                <w:sz w:val="20"/>
                <w:szCs w:val="20"/>
              </w:rPr>
              <w:t>Zastavěná plocha stavby:</w:t>
            </w:r>
          </w:p>
        </w:tc>
        <w:tc>
          <w:tcPr>
            <w:tcW w:w="657" w:type="dxa"/>
            <w:gridSpan w:val="5"/>
            <w:tcBorders>
              <w:top w:val="nil"/>
              <w:left w:val="nil"/>
              <w:bottom w:val="nil"/>
              <w:right w:val="nil"/>
            </w:tcBorders>
            <w:shd w:val="clear" w:color="000000" w:fill="D9D9D9"/>
            <w:noWrap/>
            <w:vAlign w:val="center"/>
            <w:hideMark/>
          </w:tcPr>
          <w:p w14:paraId="7BD98CA2" w14:textId="77777777" w:rsidR="00FA4DF5" w:rsidRDefault="00FA4DF5">
            <w:pPr>
              <w:jc w:val="right"/>
              <w:rPr>
                <w:color w:val="000000"/>
                <w:sz w:val="20"/>
                <w:szCs w:val="20"/>
              </w:rPr>
            </w:pPr>
            <w:r>
              <w:rPr>
                <w:color w:val="000000"/>
                <w:sz w:val="20"/>
                <w:szCs w:val="20"/>
              </w:rPr>
              <w:t>565,00</w:t>
            </w:r>
          </w:p>
        </w:tc>
        <w:tc>
          <w:tcPr>
            <w:tcW w:w="212" w:type="dxa"/>
            <w:gridSpan w:val="2"/>
            <w:tcBorders>
              <w:top w:val="nil"/>
              <w:left w:val="nil"/>
              <w:bottom w:val="nil"/>
              <w:right w:val="nil"/>
            </w:tcBorders>
            <w:shd w:val="clear" w:color="auto" w:fill="auto"/>
            <w:noWrap/>
            <w:vAlign w:val="center"/>
            <w:hideMark/>
          </w:tcPr>
          <w:p w14:paraId="63F5199C" w14:textId="77777777" w:rsidR="00FA4DF5" w:rsidRDefault="00FA4DF5">
            <w:pPr>
              <w:rPr>
                <w:color w:val="000000"/>
                <w:sz w:val="20"/>
                <w:szCs w:val="20"/>
              </w:rPr>
            </w:pPr>
            <w:r>
              <w:rPr>
                <w:color w:val="000000"/>
                <w:sz w:val="20"/>
                <w:szCs w:val="20"/>
              </w:rPr>
              <w:t>m</w:t>
            </w:r>
            <w:r>
              <w:rPr>
                <w:color w:val="000000"/>
                <w:sz w:val="20"/>
                <w:szCs w:val="20"/>
                <w:vertAlign w:val="superscript"/>
              </w:rPr>
              <w:t>2</w:t>
            </w:r>
          </w:p>
        </w:tc>
        <w:tc>
          <w:tcPr>
            <w:tcW w:w="4685" w:type="dxa"/>
            <w:gridSpan w:val="10"/>
            <w:tcBorders>
              <w:top w:val="nil"/>
              <w:left w:val="nil"/>
              <w:bottom w:val="nil"/>
              <w:right w:val="nil"/>
            </w:tcBorders>
            <w:shd w:val="clear" w:color="auto" w:fill="auto"/>
            <w:noWrap/>
            <w:vAlign w:val="center"/>
            <w:hideMark/>
          </w:tcPr>
          <w:p w14:paraId="4CE47221" w14:textId="77777777" w:rsidR="00FA4DF5" w:rsidRDefault="00FA4DF5">
            <w:pPr>
              <w:jc w:val="right"/>
              <w:rPr>
                <w:color w:val="000000"/>
                <w:sz w:val="20"/>
                <w:szCs w:val="20"/>
              </w:rPr>
            </w:pPr>
            <w:r>
              <w:rPr>
                <w:color w:val="000000"/>
                <w:sz w:val="20"/>
                <w:szCs w:val="20"/>
              </w:rPr>
              <w:t>Počet nadzemních podlaží (NP):</w:t>
            </w:r>
          </w:p>
        </w:tc>
        <w:tc>
          <w:tcPr>
            <w:tcW w:w="1189" w:type="dxa"/>
            <w:gridSpan w:val="3"/>
            <w:tcBorders>
              <w:top w:val="nil"/>
              <w:left w:val="nil"/>
              <w:bottom w:val="nil"/>
              <w:right w:val="single" w:sz="8" w:space="0" w:color="000000"/>
            </w:tcBorders>
            <w:shd w:val="clear" w:color="000000" w:fill="D9D9D9"/>
            <w:noWrap/>
            <w:vAlign w:val="center"/>
            <w:hideMark/>
          </w:tcPr>
          <w:p w14:paraId="72FB2A83" w14:textId="77777777" w:rsidR="00FA4DF5" w:rsidRDefault="00FA4DF5">
            <w:pPr>
              <w:jc w:val="right"/>
              <w:rPr>
                <w:color w:val="000000"/>
                <w:sz w:val="20"/>
                <w:szCs w:val="20"/>
              </w:rPr>
            </w:pPr>
            <w:r>
              <w:rPr>
                <w:color w:val="000000"/>
                <w:sz w:val="20"/>
                <w:szCs w:val="20"/>
              </w:rPr>
              <w:t>5</w:t>
            </w:r>
          </w:p>
        </w:tc>
      </w:tr>
      <w:tr w:rsidR="00FA4DF5" w14:paraId="2E4F4751" w14:textId="77777777" w:rsidTr="00FA4DF5">
        <w:trPr>
          <w:trHeight w:val="270"/>
        </w:trPr>
        <w:tc>
          <w:tcPr>
            <w:tcW w:w="2663" w:type="dxa"/>
            <w:gridSpan w:val="9"/>
            <w:tcBorders>
              <w:top w:val="nil"/>
              <w:left w:val="single" w:sz="8" w:space="0" w:color="auto"/>
              <w:bottom w:val="nil"/>
              <w:right w:val="nil"/>
            </w:tcBorders>
            <w:shd w:val="clear" w:color="auto" w:fill="auto"/>
            <w:noWrap/>
            <w:vAlign w:val="center"/>
            <w:hideMark/>
          </w:tcPr>
          <w:p w14:paraId="5572DEE9" w14:textId="77777777" w:rsidR="00FA4DF5" w:rsidRDefault="00FA4DF5">
            <w:pPr>
              <w:jc w:val="right"/>
              <w:rPr>
                <w:color w:val="000000"/>
                <w:sz w:val="20"/>
                <w:szCs w:val="20"/>
              </w:rPr>
            </w:pPr>
            <w:r>
              <w:rPr>
                <w:color w:val="000000"/>
                <w:sz w:val="20"/>
                <w:szCs w:val="20"/>
              </w:rPr>
              <w:t>Výška stavby:</w:t>
            </w:r>
          </w:p>
        </w:tc>
        <w:tc>
          <w:tcPr>
            <w:tcW w:w="657" w:type="dxa"/>
            <w:gridSpan w:val="5"/>
            <w:tcBorders>
              <w:top w:val="nil"/>
              <w:left w:val="nil"/>
              <w:bottom w:val="nil"/>
              <w:right w:val="nil"/>
            </w:tcBorders>
            <w:shd w:val="clear" w:color="000000" w:fill="D9D9D9"/>
            <w:noWrap/>
            <w:vAlign w:val="center"/>
            <w:hideMark/>
          </w:tcPr>
          <w:p w14:paraId="32DE79FF" w14:textId="77777777" w:rsidR="00FA4DF5" w:rsidRDefault="00FA4DF5">
            <w:pPr>
              <w:jc w:val="right"/>
              <w:rPr>
                <w:color w:val="000000"/>
                <w:sz w:val="20"/>
                <w:szCs w:val="20"/>
              </w:rPr>
            </w:pPr>
            <w:r>
              <w:rPr>
                <w:color w:val="000000"/>
                <w:sz w:val="20"/>
                <w:szCs w:val="20"/>
              </w:rPr>
              <w:t>14,00</w:t>
            </w:r>
          </w:p>
        </w:tc>
        <w:tc>
          <w:tcPr>
            <w:tcW w:w="212" w:type="dxa"/>
            <w:gridSpan w:val="2"/>
            <w:tcBorders>
              <w:top w:val="nil"/>
              <w:left w:val="nil"/>
              <w:bottom w:val="nil"/>
              <w:right w:val="nil"/>
            </w:tcBorders>
            <w:shd w:val="clear" w:color="auto" w:fill="auto"/>
            <w:noWrap/>
            <w:vAlign w:val="center"/>
            <w:hideMark/>
          </w:tcPr>
          <w:p w14:paraId="1BFAEDF3" w14:textId="77777777" w:rsidR="00FA4DF5" w:rsidRDefault="00FA4DF5">
            <w:pPr>
              <w:rPr>
                <w:color w:val="000000"/>
                <w:sz w:val="20"/>
                <w:szCs w:val="20"/>
              </w:rPr>
            </w:pPr>
            <w:r>
              <w:rPr>
                <w:color w:val="000000"/>
                <w:sz w:val="20"/>
                <w:szCs w:val="20"/>
              </w:rPr>
              <w:t>m</w:t>
            </w:r>
          </w:p>
        </w:tc>
        <w:tc>
          <w:tcPr>
            <w:tcW w:w="4685" w:type="dxa"/>
            <w:gridSpan w:val="10"/>
            <w:tcBorders>
              <w:top w:val="nil"/>
              <w:left w:val="nil"/>
              <w:bottom w:val="nil"/>
              <w:right w:val="nil"/>
            </w:tcBorders>
            <w:shd w:val="clear" w:color="auto" w:fill="auto"/>
            <w:noWrap/>
            <w:vAlign w:val="center"/>
            <w:hideMark/>
          </w:tcPr>
          <w:p w14:paraId="0487539B" w14:textId="77777777" w:rsidR="00FA4DF5" w:rsidRDefault="00FA4DF5">
            <w:pPr>
              <w:jc w:val="right"/>
              <w:rPr>
                <w:color w:val="000000"/>
                <w:sz w:val="20"/>
                <w:szCs w:val="20"/>
              </w:rPr>
            </w:pPr>
            <w:r>
              <w:rPr>
                <w:color w:val="000000"/>
                <w:sz w:val="20"/>
                <w:szCs w:val="20"/>
              </w:rPr>
              <w:t>Počet podzemních podlaží (PP):</w:t>
            </w:r>
          </w:p>
        </w:tc>
        <w:tc>
          <w:tcPr>
            <w:tcW w:w="1189" w:type="dxa"/>
            <w:gridSpan w:val="3"/>
            <w:tcBorders>
              <w:top w:val="nil"/>
              <w:left w:val="nil"/>
              <w:bottom w:val="nil"/>
              <w:right w:val="single" w:sz="8" w:space="0" w:color="000000"/>
            </w:tcBorders>
            <w:shd w:val="clear" w:color="000000" w:fill="D9D9D9"/>
            <w:noWrap/>
            <w:vAlign w:val="center"/>
            <w:hideMark/>
          </w:tcPr>
          <w:p w14:paraId="569F09FE" w14:textId="2E2F5407" w:rsidR="00FA4DF5" w:rsidRDefault="003B62CD">
            <w:pPr>
              <w:jc w:val="right"/>
              <w:rPr>
                <w:color w:val="000000"/>
                <w:sz w:val="20"/>
                <w:szCs w:val="20"/>
              </w:rPr>
            </w:pPr>
            <w:r>
              <w:rPr>
                <w:color w:val="000000"/>
                <w:sz w:val="20"/>
                <w:szCs w:val="20"/>
              </w:rPr>
              <w:t>1</w:t>
            </w:r>
          </w:p>
        </w:tc>
      </w:tr>
      <w:tr w:rsidR="00FA4DF5" w14:paraId="6C8AFC22" w14:textId="77777777" w:rsidTr="00FA4DF5">
        <w:trPr>
          <w:trHeight w:val="270"/>
        </w:trPr>
        <w:tc>
          <w:tcPr>
            <w:tcW w:w="2663" w:type="dxa"/>
            <w:gridSpan w:val="9"/>
            <w:tcBorders>
              <w:top w:val="nil"/>
              <w:left w:val="single" w:sz="8" w:space="0" w:color="auto"/>
              <w:bottom w:val="nil"/>
              <w:right w:val="nil"/>
            </w:tcBorders>
            <w:shd w:val="clear" w:color="auto" w:fill="auto"/>
            <w:noWrap/>
            <w:vAlign w:val="center"/>
            <w:hideMark/>
          </w:tcPr>
          <w:p w14:paraId="326FB370" w14:textId="77777777" w:rsidR="00FA4DF5" w:rsidRDefault="00FA4DF5">
            <w:pPr>
              <w:jc w:val="right"/>
              <w:rPr>
                <w:color w:val="000000"/>
                <w:sz w:val="20"/>
                <w:szCs w:val="20"/>
              </w:rPr>
            </w:pPr>
            <w:r>
              <w:rPr>
                <w:color w:val="000000"/>
                <w:sz w:val="20"/>
                <w:szCs w:val="20"/>
              </w:rPr>
              <w:t>Světlá výška podlaží:</w:t>
            </w:r>
          </w:p>
        </w:tc>
        <w:tc>
          <w:tcPr>
            <w:tcW w:w="657" w:type="dxa"/>
            <w:gridSpan w:val="5"/>
            <w:tcBorders>
              <w:top w:val="nil"/>
              <w:left w:val="nil"/>
              <w:bottom w:val="nil"/>
              <w:right w:val="nil"/>
            </w:tcBorders>
            <w:shd w:val="clear" w:color="000000" w:fill="D9D9D9"/>
            <w:noWrap/>
            <w:vAlign w:val="center"/>
            <w:hideMark/>
          </w:tcPr>
          <w:p w14:paraId="02438E55" w14:textId="77777777" w:rsidR="00FA4DF5" w:rsidRDefault="00FA4DF5">
            <w:pPr>
              <w:jc w:val="right"/>
              <w:rPr>
                <w:color w:val="000000"/>
                <w:sz w:val="20"/>
                <w:szCs w:val="20"/>
              </w:rPr>
            </w:pPr>
            <w:r>
              <w:rPr>
                <w:color w:val="000000"/>
                <w:sz w:val="20"/>
                <w:szCs w:val="20"/>
              </w:rPr>
              <w:t> </w:t>
            </w:r>
          </w:p>
        </w:tc>
        <w:tc>
          <w:tcPr>
            <w:tcW w:w="212" w:type="dxa"/>
            <w:gridSpan w:val="2"/>
            <w:tcBorders>
              <w:top w:val="nil"/>
              <w:left w:val="nil"/>
              <w:bottom w:val="nil"/>
              <w:right w:val="nil"/>
            </w:tcBorders>
            <w:shd w:val="clear" w:color="auto" w:fill="auto"/>
            <w:noWrap/>
            <w:vAlign w:val="center"/>
            <w:hideMark/>
          </w:tcPr>
          <w:p w14:paraId="74B800A8" w14:textId="77777777" w:rsidR="00FA4DF5" w:rsidRDefault="00FA4DF5">
            <w:pPr>
              <w:rPr>
                <w:color w:val="000000"/>
                <w:sz w:val="20"/>
                <w:szCs w:val="20"/>
              </w:rPr>
            </w:pPr>
            <w:r>
              <w:rPr>
                <w:color w:val="000000"/>
                <w:sz w:val="20"/>
                <w:szCs w:val="20"/>
              </w:rPr>
              <w:t>m</w:t>
            </w:r>
          </w:p>
        </w:tc>
        <w:tc>
          <w:tcPr>
            <w:tcW w:w="1675" w:type="dxa"/>
            <w:tcBorders>
              <w:top w:val="nil"/>
              <w:left w:val="nil"/>
              <w:bottom w:val="nil"/>
              <w:right w:val="nil"/>
            </w:tcBorders>
            <w:shd w:val="clear" w:color="auto" w:fill="auto"/>
            <w:noWrap/>
            <w:vAlign w:val="center"/>
            <w:hideMark/>
          </w:tcPr>
          <w:p w14:paraId="51FE2C90" w14:textId="77777777" w:rsidR="00FA4DF5" w:rsidRDefault="00FA4DF5">
            <w:pPr>
              <w:jc w:val="right"/>
              <w:rPr>
                <w:color w:val="808080"/>
                <w:sz w:val="20"/>
                <w:szCs w:val="20"/>
              </w:rPr>
            </w:pPr>
            <w:r>
              <w:rPr>
                <w:color w:val="808080"/>
                <w:sz w:val="20"/>
                <w:szCs w:val="20"/>
              </w:rPr>
              <w:t>&lt;=</w:t>
            </w:r>
          </w:p>
        </w:tc>
        <w:tc>
          <w:tcPr>
            <w:tcW w:w="4199" w:type="dxa"/>
            <w:gridSpan w:val="12"/>
            <w:tcBorders>
              <w:top w:val="nil"/>
              <w:left w:val="nil"/>
              <w:bottom w:val="nil"/>
              <w:right w:val="single" w:sz="8" w:space="0" w:color="000000"/>
            </w:tcBorders>
            <w:shd w:val="clear" w:color="auto" w:fill="auto"/>
            <w:noWrap/>
            <w:vAlign w:val="center"/>
            <w:hideMark/>
          </w:tcPr>
          <w:p w14:paraId="1F0060B7" w14:textId="77777777" w:rsidR="00FA4DF5" w:rsidRDefault="00FA4DF5">
            <w:pPr>
              <w:rPr>
                <w:color w:val="808080"/>
                <w:sz w:val="20"/>
                <w:szCs w:val="20"/>
              </w:rPr>
            </w:pPr>
            <w:r>
              <w:rPr>
                <w:color w:val="808080"/>
                <w:sz w:val="20"/>
                <w:szCs w:val="20"/>
              </w:rPr>
              <w:t>vyplňuje se pouze u jednopodlažních obj.</w:t>
            </w:r>
          </w:p>
        </w:tc>
      </w:tr>
      <w:tr w:rsidR="00FA4DF5" w14:paraId="4E6E1CB5" w14:textId="77777777" w:rsidTr="00FA4DF5">
        <w:trPr>
          <w:trHeight w:val="270"/>
        </w:trPr>
        <w:tc>
          <w:tcPr>
            <w:tcW w:w="3017" w:type="dxa"/>
            <w:gridSpan w:val="11"/>
            <w:tcBorders>
              <w:top w:val="nil"/>
              <w:left w:val="single" w:sz="8" w:space="0" w:color="auto"/>
              <w:bottom w:val="nil"/>
              <w:right w:val="nil"/>
            </w:tcBorders>
            <w:shd w:val="clear" w:color="auto" w:fill="auto"/>
            <w:noWrap/>
            <w:vAlign w:val="center"/>
            <w:hideMark/>
          </w:tcPr>
          <w:p w14:paraId="2AF79246" w14:textId="77777777" w:rsidR="00FA4DF5" w:rsidRDefault="00FA4DF5">
            <w:pPr>
              <w:jc w:val="right"/>
              <w:rPr>
                <w:color w:val="000000"/>
                <w:sz w:val="20"/>
                <w:szCs w:val="20"/>
              </w:rPr>
            </w:pPr>
            <w:r>
              <w:rPr>
                <w:color w:val="000000"/>
                <w:sz w:val="20"/>
                <w:szCs w:val="20"/>
              </w:rPr>
              <w:t>Navrhovaný počet osob:</w:t>
            </w:r>
          </w:p>
        </w:tc>
        <w:tc>
          <w:tcPr>
            <w:tcW w:w="515" w:type="dxa"/>
            <w:gridSpan w:val="5"/>
            <w:tcBorders>
              <w:top w:val="nil"/>
              <w:left w:val="nil"/>
              <w:bottom w:val="nil"/>
              <w:right w:val="nil"/>
            </w:tcBorders>
            <w:shd w:val="clear" w:color="000000" w:fill="D9D9D9"/>
            <w:noWrap/>
            <w:vAlign w:val="center"/>
            <w:hideMark/>
          </w:tcPr>
          <w:p w14:paraId="76B34CE3" w14:textId="77777777" w:rsidR="00FA4DF5" w:rsidRDefault="00FA4DF5">
            <w:pPr>
              <w:jc w:val="right"/>
              <w:rPr>
                <w:color w:val="000000"/>
                <w:sz w:val="20"/>
                <w:szCs w:val="20"/>
              </w:rPr>
            </w:pPr>
            <w:r>
              <w:rPr>
                <w:color w:val="000000"/>
                <w:sz w:val="20"/>
                <w:szCs w:val="20"/>
              </w:rPr>
              <w:t>200</w:t>
            </w:r>
          </w:p>
        </w:tc>
        <w:tc>
          <w:tcPr>
            <w:tcW w:w="1721" w:type="dxa"/>
            <w:gridSpan w:val="2"/>
            <w:tcBorders>
              <w:top w:val="nil"/>
              <w:left w:val="nil"/>
              <w:bottom w:val="nil"/>
              <w:right w:val="nil"/>
            </w:tcBorders>
            <w:shd w:val="clear" w:color="auto" w:fill="auto"/>
            <w:noWrap/>
            <w:vAlign w:val="center"/>
            <w:hideMark/>
          </w:tcPr>
          <w:p w14:paraId="579988EA" w14:textId="77777777" w:rsidR="00FA4DF5" w:rsidRDefault="00FA4DF5">
            <w:pPr>
              <w:rPr>
                <w:color w:val="000000"/>
                <w:sz w:val="20"/>
                <w:szCs w:val="20"/>
              </w:rPr>
            </w:pPr>
            <w:r>
              <w:rPr>
                <w:color w:val="000000"/>
                <w:sz w:val="20"/>
                <w:szCs w:val="20"/>
              </w:rPr>
              <w:t>osob</w:t>
            </w:r>
          </w:p>
        </w:tc>
        <w:tc>
          <w:tcPr>
            <w:tcW w:w="370" w:type="dxa"/>
            <w:tcBorders>
              <w:top w:val="nil"/>
              <w:left w:val="nil"/>
              <w:bottom w:val="nil"/>
              <w:right w:val="nil"/>
            </w:tcBorders>
            <w:shd w:val="clear" w:color="auto" w:fill="auto"/>
            <w:noWrap/>
            <w:vAlign w:val="center"/>
            <w:hideMark/>
          </w:tcPr>
          <w:p w14:paraId="38265AF1" w14:textId="77777777" w:rsidR="00FA4DF5" w:rsidRDefault="00FA4DF5">
            <w:pPr>
              <w:rPr>
                <w:color w:val="000000"/>
                <w:sz w:val="20"/>
                <w:szCs w:val="20"/>
              </w:rPr>
            </w:pPr>
          </w:p>
        </w:tc>
        <w:tc>
          <w:tcPr>
            <w:tcW w:w="372" w:type="dxa"/>
            <w:tcBorders>
              <w:top w:val="nil"/>
              <w:left w:val="nil"/>
              <w:bottom w:val="nil"/>
              <w:right w:val="nil"/>
            </w:tcBorders>
            <w:shd w:val="clear" w:color="auto" w:fill="auto"/>
            <w:noWrap/>
            <w:vAlign w:val="center"/>
            <w:hideMark/>
          </w:tcPr>
          <w:p w14:paraId="327B928A"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49B17A72" w14:textId="77777777" w:rsidR="00FA4DF5" w:rsidRDefault="00FA4DF5">
            <w:pPr>
              <w:rPr>
                <w:sz w:val="20"/>
                <w:szCs w:val="20"/>
              </w:rPr>
            </w:pPr>
          </w:p>
        </w:tc>
        <w:tc>
          <w:tcPr>
            <w:tcW w:w="3041" w:type="dxa"/>
            <w:gridSpan w:val="8"/>
            <w:vMerge w:val="restart"/>
            <w:tcBorders>
              <w:top w:val="nil"/>
              <w:left w:val="nil"/>
              <w:bottom w:val="single" w:sz="8" w:space="0" w:color="000000"/>
              <w:right w:val="single" w:sz="8" w:space="0" w:color="000000"/>
            </w:tcBorders>
            <w:shd w:val="clear" w:color="auto" w:fill="auto"/>
            <w:vAlign w:val="center"/>
            <w:hideMark/>
          </w:tcPr>
          <w:p w14:paraId="38B337BD" w14:textId="77777777" w:rsidR="00FA4DF5" w:rsidRDefault="00FA4DF5">
            <w:pPr>
              <w:rPr>
                <w:sz w:val="20"/>
                <w:szCs w:val="20"/>
              </w:rPr>
            </w:pPr>
          </w:p>
        </w:tc>
      </w:tr>
      <w:tr w:rsidR="00FA4DF5" w14:paraId="7093E5B4" w14:textId="77777777" w:rsidTr="00FA4DF5">
        <w:trPr>
          <w:trHeight w:val="270"/>
        </w:trPr>
        <w:tc>
          <w:tcPr>
            <w:tcW w:w="3017" w:type="dxa"/>
            <w:gridSpan w:val="11"/>
            <w:tcBorders>
              <w:top w:val="nil"/>
              <w:left w:val="single" w:sz="8" w:space="0" w:color="auto"/>
              <w:bottom w:val="nil"/>
              <w:right w:val="nil"/>
            </w:tcBorders>
            <w:shd w:val="clear" w:color="auto" w:fill="auto"/>
            <w:noWrap/>
            <w:vAlign w:val="center"/>
            <w:hideMark/>
          </w:tcPr>
          <w:p w14:paraId="71503DCB" w14:textId="77777777" w:rsidR="00FA4DF5" w:rsidRDefault="00FA4DF5">
            <w:pPr>
              <w:jc w:val="right"/>
              <w:rPr>
                <w:color w:val="000000"/>
                <w:sz w:val="20"/>
                <w:szCs w:val="20"/>
              </w:rPr>
            </w:pPr>
            <w:r>
              <w:rPr>
                <w:color w:val="000000"/>
                <w:sz w:val="20"/>
                <w:szCs w:val="20"/>
              </w:rPr>
              <w:t>Počet ubytovaných osob:</w:t>
            </w:r>
          </w:p>
        </w:tc>
        <w:tc>
          <w:tcPr>
            <w:tcW w:w="515" w:type="dxa"/>
            <w:gridSpan w:val="5"/>
            <w:tcBorders>
              <w:top w:val="nil"/>
              <w:left w:val="nil"/>
              <w:bottom w:val="nil"/>
              <w:right w:val="nil"/>
            </w:tcBorders>
            <w:shd w:val="clear" w:color="000000" w:fill="D9D9D9"/>
            <w:noWrap/>
            <w:vAlign w:val="center"/>
            <w:hideMark/>
          </w:tcPr>
          <w:p w14:paraId="2E5F801F" w14:textId="77777777" w:rsidR="00FA4DF5" w:rsidRDefault="00FA4DF5">
            <w:pPr>
              <w:jc w:val="right"/>
              <w:rPr>
                <w:color w:val="000000"/>
                <w:sz w:val="20"/>
                <w:szCs w:val="20"/>
              </w:rPr>
            </w:pPr>
            <w:r>
              <w:rPr>
                <w:color w:val="000000"/>
                <w:sz w:val="20"/>
                <w:szCs w:val="20"/>
              </w:rPr>
              <w:t>0</w:t>
            </w:r>
          </w:p>
        </w:tc>
        <w:tc>
          <w:tcPr>
            <w:tcW w:w="1721" w:type="dxa"/>
            <w:gridSpan w:val="2"/>
            <w:tcBorders>
              <w:top w:val="nil"/>
              <w:left w:val="nil"/>
              <w:bottom w:val="nil"/>
              <w:right w:val="nil"/>
            </w:tcBorders>
            <w:shd w:val="clear" w:color="auto" w:fill="auto"/>
            <w:noWrap/>
            <w:vAlign w:val="center"/>
            <w:hideMark/>
          </w:tcPr>
          <w:p w14:paraId="20C2E3FB" w14:textId="77777777" w:rsidR="00FA4DF5" w:rsidRDefault="00FA4DF5">
            <w:pPr>
              <w:rPr>
                <w:color w:val="000000"/>
                <w:sz w:val="20"/>
                <w:szCs w:val="20"/>
              </w:rPr>
            </w:pPr>
            <w:r>
              <w:rPr>
                <w:color w:val="000000"/>
                <w:sz w:val="20"/>
                <w:szCs w:val="20"/>
              </w:rPr>
              <w:t>osob</w:t>
            </w:r>
          </w:p>
        </w:tc>
        <w:tc>
          <w:tcPr>
            <w:tcW w:w="370" w:type="dxa"/>
            <w:tcBorders>
              <w:top w:val="nil"/>
              <w:left w:val="nil"/>
              <w:bottom w:val="nil"/>
              <w:right w:val="nil"/>
            </w:tcBorders>
            <w:shd w:val="clear" w:color="auto" w:fill="auto"/>
            <w:noWrap/>
            <w:vAlign w:val="center"/>
            <w:hideMark/>
          </w:tcPr>
          <w:p w14:paraId="6FB0C8EE" w14:textId="77777777" w:rsidR="00FA4DF5" w:rsidRDefault="00FA4DF5">
            <w:pPr>
              <w:rPr>
                <w:color w:val="000000"/>
                <w:sz w:val="20"/>
                <w:szCs w:val="20"/>
              </w:rPr>
            </w:pPr>
          </w:p>
        </w:tc>
        <w:tc>
          <w:tcPr>
            <w:tcW w:w="372" w:type="dxa"/>
            <w:tcBorders>
              <w:top w:val="nil"/>
              <w:left w:val="nil"/>
              <w:bottom w:val="nil"/>
              <w:right w:val="nil"/>
            </w:tcBorders>
            <w:shd w:val="clear" w:color="auto" w:fill="auto"/>
            <w:noWrap/>
            <w:vAlign w:val="center"/>
            <w:hideMark/>
          </w:tcPr>
          <w:p w14:paraId="6C194DDE"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21CD1DC9" w14:textId="77777777" w:rsidR="00FA4DF5" w:rsidRDefault="00FA4DF5">
            <w:pPr>
              <w:rPr>
                <w:sz w:val="20"/>
                <w:szCs w:val="20"/>
              </w:rPr>
            </w:pPr>
          </w:p>
        </w:tc>
        <w:tc>
          <w:tcPr>
            <w:tcW w:w="3041" w:type="dxa"/>
            <w:gridSpan w:val="8"/>
            <w:vMerge/>
            <w:tcBorders>
              <w:top w:val="nil"/>
              <w:left w:val="nil"/>
              <w:bottom w:val="nil"/>
              <w:right w:val="nil"/>
            </w:tcBorders>
            <w:vAlign w:val="center"/>
            <w:hideMark/>
          </w:tcPr>
          <w:p w14:paraId="54FC5D4B" w14:textId="77777777" w:rsidR="00FA4DF5" w:rsidRDefault="00FA4DF5">
            <w:pPr>
              <w:rPr>
                <w:sz w:val="20"/>
                <w:szCs w:val="20"/>
              </w:rPr>
            </w:pPr>
          </w:p>
        </w:tc>
      </w:tr>
      <w:tr w:rsidR="00FA4DF5" w14:paraId="78759828" w14:textId="77777777" w:rsidTr="00FA4DF5">
        <w:trPr>
          <w:trHeight w:val="270"/>
        </w:trPr>
        <w:tc>
          <w:tcPr>
            <w:tcW w:w="3017" w:type="dxa"/>
            <w:gridSpan w:val="11"/>
            <w:tcBorders>
              <w:top w:val="nil"/>
              <w:left w:val="single" w:sz="8" w:space="0" w:color="auto"/>
              <w:bottom w:val="single" w:sz="8" w:space="0" w:color="auto"/>
              <w:right w:val="nil"/>
            </w:tcBorders>
            <w:shd w:val="clear" w:color="auto" w:fill="auto"/>
            <w:noWrap/>
            <w:vAlign w:val="center"/>
            <w:hideMark/>
          </w:tcPr>
          <w:p w14:paraId="74E013F6" w14:textId="77777777" w:rsidR="00FA4DF5" w:rsidRDefault="00FA4DF5">
            <w:pPr>
              <w:jc w:val="right"/>
              <w:rPr>
                <w:color w:val="000000"/>
                <w:sz w:val="20"/>
                <w:szCs w:val="20"/>
              </w:rPr>
            </w:pPr>
            <w:r>
              <w:rPr>
                <w:color w:val="000000"/>
                <w:sz w:val="20"/>
                <w:szCs w:val="20"/>
              </w:rPr>
              <w:t>Počet osob vyžadujících asistenci:</w:t>
            </w:r>
          </w:p>
        </w:tc>
        <w:tc>
          <w:tcPr>
            <w:tcW w:w="515" w:type="dxa"/>
            <w:gridSpan w:val="5"/>
            <w:tcBorders>
              <w:top w:val="nil"/>
              <w:left w:val="nil"/>
              <w:bottom w:val="single" w:sz="8" w:space="0" w:color="auto"/>
              <w:right w:val="nil"/>
            </w:tcBorders>
            <w:shd w:val="clear" w:color="000000" w:fill="D9D9D9"/>
            <w:noWrap/>
            <w:vAlign w:val="center"/>
            <w:hideMark/>
          </w:tcPr>
          <w:p w14:paraId="536AC205" w14:textId="77777777" w:rsidR="00FA4DF5" w:rsidRDefault="00FA4DF5">
            <w:pPr>
              <w:jc w:val="right"/>
              <w:rPr>
                <w:color w:val="000000"/>
                <w:sz w:val="20"/>
                <w:szCs w:val="20"/>
              </w:rPr>
            </w:pPr>
            <w:r>
              <w:rPr>
                <w:color w:val="000000"/>
                <w:sz w:val="20"/>
                <w:szCs w:val="20"/>
              </w:rPr>
              <w:t>0</w:t>
            </w:r>
          </w:p>
        </w:tc>
        <w:tc>
          <w:tcPr>
            <w:tcW w:w="1721" w:type="dxa"/>
            <w:gridSpan w:val="2"/>
            <w:tcBorders>
              <w:top w:val="nil"/>
              <w:left w:val="nil"/>
              <w:bottom w:val="single" w:sz="8" w:space="0" w:color="auto"/>
              <w:right w:val="nil"/>
            </w:tcBorders>
            <w:shd w:val="clear" w:color="auto" w:fill="auto"/>
            <w:noWrap/>
            <w:vAlign w:val="center"/>
            <w:hideMark/>
          </w:tcPr>
          <w:p w14:paraId="41A22B2F" w14:textId="77777777" w:rsidR="00FA4DF5" w:rsidRDefault="00FA4DF5">
            <w:pPr>
              <w:rPr>
                <w:color w:val="000000"/>
                <w:sz w:val="20"/>
                <w:szCs w:val="20"/>
              </w:rPr>
            </w:pPr>
            <w:r>
              <w:rPr>
                <w:color w:val="000000"/>
                <w:sz w:val="20"/>
                <w:szCs w:val="20"/>
              </w:rPr>
              <w:t>osob</w:t>
            </w:r>
          </w:p>
        </w:tc>
        <w:tc>
          <w:tcPr>
            <w:tcW w:w="370" w:type="dxa"/>
            <w:tcBorders>
              <w:top w:val="nil"/>
              <w:left w:val="nil"/>
              <w:bottom w:val="single" w:sz="8" w:space="0" w:color="auto"/>
              <w:right w:val="nil"/>
            </w:tcBorders>
            <w:shd w:val="clear" w:color="auto" w:fill="auto"/>
            <w:noWrap/>
            <w:vAlign w:val="center"/>
            <w:hideMark/>
          </w:tcPr>
          <w:p w14:paraId="055F7D19" w14:textId="77777777" w:rsidR="00FA4DF5" w:rsidRDefault="00FA4DF5">
            <w:pPr>
              <w:jc w:val="center"/>
              <w:rPr>
                <w:b/>
                <w:bCs/>
                <w:color w:val="FF0000"/>
                <w:sz w:val="20"/>
                <w:szCs w:val="20"/>
              </w:rPr>
            </w:pPr>
            <w:r>
              <w:rPr>
                <w:b/>
                <w:bCs/>
                <w:color w:val="FF0000"/>
                <w:sz w:val="20"/>
                <w:szCs w:val="20"/>
              </w:rPr>
              <w:t> </w:t>
            </w:r>
          </w:p>
        </w:tc>
        <w:tc>
          <w:tcPr>
            <w:tcW w:w="372" w:type="dxa"/>
            <w:tcBorders>
              <w:top w:val="nil"/>
              <w:left w:val="nil"/>
              <w:bottom w:val="single" w:sz="8" w:space="0" w:color="auto"/>
              <w:right w:val="nil"/>
            </w:tcBorders>
            <w:shd w:val="clear" w:color="auto" w:fill="auto"/>
            <w:noWrap/>
            <w:vAlign w:val="center"/>
            <w:hideMark/>
          </w:tcPr>
          <w:p w14:paraId="3B4EE573" w14:textId="77777777" w:rsidR="00FA4DF5" w:rsidRDefault="00FA4DF5">
            <w:pPr>
              <w:rPr>
                <w:color w:val="000000"/>
                <w:sz w:val="20"/>
                <w:szCs w:val="20"/>
              </w:rPr>
            </w:pPr>
            <w:r>
              <w:rPr>
                <w:color w:val="000000"/>
                <w:sz w:val="20"/>
                <w:szCs w:val="20"/>
              </w:rPr>
              <w:t> </w:t>
            </w:r>
          </w:p>
        </w:tc>
        <w:tc>
          <w:tcPr>
            <w:tcW w:w="370" w:type="dxa"/>
            <w:tcBorders>
              <w:top w:val="nil"/>
              <w:left w:val="nil"/>
              <w:bottom w:val="single" w:sz="8" w:space="0" w:color="auto"/>
              <w:right w:val="nil"/>
            </w:tcBorders>
            <w:shd w:val="clear" w:color="auto" w:fill="auto"/>
            <w:noWrap/>
            <w:vAlign w:val="center"/>
            <w:hideMark/>
          </w:tcPr>
          <w:p w14:paraId="5CC53D8C" w14:textId="77777777" w:rsidR="00FA4DF5" w:rsidRDefault="00FA4DF5">
            <w:pPr>
              <w:rPr>
                <w:color w:val="000000"/>
                <w:sz w:val="20"/>
                <w:szCs w:val="20"/>
              </w:rPr>
            </w:pPr>
            <w:r>
              <w:rPr>
                <w:color w:val="000000"/>
                <w:sz w:val="20"/>
                <w:szCs w:val="20"/>
              </w:rPr>
              <w:t> </w:t>
            </w:r>
          </w:p>
        </w:tc>
        <w:tc>
          <w:tcPr>
            <w:tcW w:w="3041" w:type="dxa"/>
            <w:gridSpan w:val="8"/>
            <w:vMerge/>
            <w:tcBorders>
              <w:top w:val="nil"/>
              <w:left w:val="nil"/>
              <w:bottom w:val="single" w:sz="8" w:space="0" w:color="auto"/>
              <w:right w:val="nil"/>
            </w:tcBorders>
            <w:vAlign w:val="center"/>
            <w:hideMark/>
          </w:tcPr>
          <w:p w14:paraId="15D71CB9" w14:textId="77777777" w:rsidR="00FA4DF5" w:rsidRDefault="00FA4DF5">
            <w:pPr>
              <w:rPr>
                <w:sz w:val="20"/>
                <w:szCs w:val="20"/>
              </w:rPr>
            </w:pPr>
          </w:p>
        </w:tc>
      </w:tr>
      <w:tr w:rsidR="00FA4DF5" w14:paraId="061F2A11" w14:textId="77777777" w:rsidTr="00FA4DF5">
        <w:trPr>
          <w:trHeight w:val="102"/>
        </w:trPr>
        <w:tc>
          <w:tcPr>
            <w:tcW w:w="451" w:type="dxa"/>
            <w:tcBorders>
              <w:top w:val="nil"/>
              <w:left w:val="nil"/>
              <w:bottom w:val="nil"/>
              <w:right w:val="nil"/>
            </w:tcBorders>
            <w:shd w:val="clear" w:color="auto" w:fill="auto"/>
            <w:noWrap/>
            <w:vAlign w:val="center"/>
            <w:hideMark/>
          </w:tcPr>
          <w:p w14:paraId="525B2427" w14:textId="77777777" w:rsidR="00FA4DF5" w:rsidRDefault="00FA4DF5">
            <w:pPr>
              <w:rPr>
                <w:color w:val="000000"/>
                <w:sz w:val="20"/>
                <w:szCs w:val="20"/>
              </w:rPr>
            </w:pPr>
          </w:p>
        </w:tc>
        <w:tc>
          <w:tcPr>
            <w:tcW w:w="447" w:type="dxa"/>
            <w:tcBorders>
              <w:top w:val="nil"/>
              <w:left w:val="nil"/>
              <w:bottom w:val="nil"/>
              <w:right w:val="nil"/>
            </w:tcBorders>
            <w:shd w:val="clear" w:color="auto" w:fill="auto"/>
            <w:noWrap/>
            <w:vAlign w:val="center"/>
            <w:hideMark/>
          </w:tcPr>
          <w:p w14:paraId="0D86BC1F" w14:textId="77777777" w:rsidR="00FA4DF5" w:rsidRDefault="00FA4DF5">
            <w:pPr>
              <w:jc w:val="right"/>
              <w:rPr>
                <w:sz w:val="20"/>
                <w:szCs w:val="20"/>
              </w:rPr>
            </w:pPr>
          </w:p>
        </w:tc>
        <w:tc>
          <w:tcPr>
            <w:tcW w:w="445" w:type="dxa"/>
            <w:tcBorders>
              <w:top w:val="nil"/>
              <w:left w:val="nil"/>
              <w:bottom w:val="nil"/>
              <w:right w:val="nil"/>
            </w:tcBorders>
            <w:shd w:val="clear" w:color="auto" w:fill="auto"/>
            <w:noWrap/>
            <w:vAlign w:val="center"/>
            <w:hideMark/>
          </w:tcPr>
          <w:p w14:paraId="04EB9D79" w14:textId="77777777" w:rsidR="00FA4DF5" w:rsidRDefault="00FA4DF5">
            <w:pPr>
              <w:jc w:val="right"/>
              <w:rPr>
                <w:sz w:val="20"/>
                <w:szCs w:val="20"/>
              </w:rPr>
            </w:pPr>
          </w:p>
        </w:tc>
        <w:tc>
          <w:tcPr>
            <w:tcW w:w="444" w:type="dxa"/>
            <w:tcBorders>
              <w:top w:val="nil"/>
              <w:left w:val="nil"/>
              <w:bottom w:val="nil"/>
              <w:right w:val="nil"/>
            </w:tcBorders>
            <w:shd w:val="clear" w:color="auto" w:fill="auto"/>
            <w:noWrap/>
            <w:vAlign w:val="center"/>
            <w:hideMark/>
          </w:tcPr>
          <w:p w14:paraId="5E04E4E0" w14:textId="77777777" w:rsidR="00FA4DF5" w:rsidRDefault="00FA4DF5">
            <w:pPr>
              <w:jc w:val="right"/>
              <w:rPr>
                <w:sz w:val="20"/>
                <w:szCs w:val="20"/>
              </w:rPr>
            </w:pPr>
          </w:p>
        </w:tc>
        <w:tc>
          <w:tcPr>
            <w:tcW w:w="444" w:type="dxa"/>
            <w:tcBorders>
              <w:top w:val="nil"/>
              <w:left w:val="nil"/>
              <w:bottom w:val="nil"/>
              <w:right w:val="nil"/>
            </w:tcBorders>
            <w:shd w:val="clear" w:color="auto" w:fill="auto"/>
            <w:noWrap/>
            <w:vAlign w:val="center"/>
            <w:hideMark/>
          </w:tcPr>
          <w:p w14:paraId="7CCD4EDF" w14:textId="77777777" w:rsidR="00FA4DF5" w:rsidRDefault="00FA4DF5">
            <w:pPr>
              <w:jc w:val="right"/>
              <w:rPr>
                <w:sz w:val="20"/>
                <w:szCs w:val="20"/>
              </w:rPr>
            </w:pPr>
          </w:p>
        </w:tc>
        <w:tc>
          <w:tcPr>
            <w:tcW w:w="108" w:type="dxa"/>
            <w:tcBorders>
              <w:top w:val="nil"/>
              <w:left w:val="nil"/>
              <w:bottom w:val="nil"/>
              <w:right w:val="nil"/>
            </w:tcBorders>
            <w:shd w:val="clear" w:color="auto" w:fill="auto"/>
            <w:noWrap/>
            <w:vAlign w:val="center"/>
            <w:hideMark/>
          </w:tcPr>
          <w:p w14:paraId="6B57B79F" w14:textId="77777777" w:rsidR="00FA4DF5" w:rsidRDefault="00FA4DF5">
            <w:pPr>
              <w:jc w:val="right"/>
              <w:rPr>
                <w:sz w:val="20"/>
                <w:szCs w:val="20"/>
              </w:rPr>
            </w:pPr>
          </w:p>
        </w:tc>
        <w:tc>
          <w:tcPr>
            <w:tcW w:w="108" w:type="dxa"/>
            <w:tcBorders>
              <w:top w:val="nil"/>
              <w:left w:val="nil"/>
              <w:bottom w:val="nil"/>
              <w:right w:val="nil"/>
            </w:tcBorders>
            <w:shd w:val="clear" w:color="auto" w:fill="auto"/>
            <w:noWrap/>
            <w:vAlign w:val="center"/>
            <w:hideMark/>
          </w:tcPr>
          <w:p w14:paraId="1F2C3D49" w14:textId="77777777" w:rsidR="00FA4DF5" w:rsidRDefault="00FA4DF5">
            <w:pPr>
              <w:jc w:val="right"/>
              <w:rPr>
                <w:sz w:val="20"/>
                <w:szCs w:val="20"/>
              </w:rPr>
            </w:pPr>
          </w:p>
        </w:tc>
        <w:tc>
          <w:tcPr>
            <w:tcW w:w="108" w:type="dxa"/>
            <w:tcBorders>
              <w:top w:val="nil"/>
              <w:left w:val="nil"/>
              <w:bottom w:val="nil"/>
              <w:right w:val="nil"/>
            </w:tcBorders>
            <w:shd w:val="clear" w:color="auto" w:fill="auto"/>
            <w:noWrap/>
            <w:vAlign w:val="center"/>
            <w:hideMark/>
          </w:tcPr>
          <w:p w14:paraId="7F37C9FF" w14:textId="77777777" w:rsidR="00FA4DF5" w:rsidRDefault="00FA4DF5">
            <w:pPr>
              <w:jc w:val="right"/>
              <w:rPr>
                <w:sz w:val="20"/>
                <w:szCs w:val="20"/>
              </w:rPr>
            </w:pPr>
          </w:p>
        </w:tc>
        <w:tc>
          <w:tcPr>
            <w:tcW w:w="108" w:type="dxa"/>
            <w:tcBorders>
              <w:top w:val="nil"/>
              <w:left w:val="nil"/>
              <w:bottom w:val="nil"/>
              <w:right w:val="nil"/>
            </w:tcBorders>
            <w:shd w:val="clear" w:color="auto" w:fill="auto"/>
            <w:noWrap/>
            <w:vAlign w:val="center"/>
            <w:hideMark/>
          </w:tcPr>
          <w:p w14:paraId="1A4D297C" w14:textId="77777777" w:rsidR="00FA4DF5" w:rsidRDefault="00FA4DF5">
            <w:pPr>
              <w:jc w:val="right"/>
              <w:rPr>
                <w:sz w:val="20"/>
                <w:szCs w:val="20"/>
              </w:rPr>
            </w:pPr>
          </w:p>
        </w:tc>
        <w:tc>
          <w:tcPr>
            <w:tcW w:w="177" w:type="dxa"/>
            <w:tcBorders>
              <w:top w:val="nil"/>
              <w:left w:val="nil"/>
              <w:bottom w:val="nil"/>
              <w:right w:val="nil"/>
            </w:tcBorders>
            <w:shd w:val="clear" w:color="auto" w:fill="auto"/>
            <w:noWrap/>
            <w:vAlign w:val="center"/>
            <w:hideMark/>
          </w:tcPr>
          <w:p w14:paraId="1D3D389D" w14:textId="77777777" w:rsidR="00FA4DF5" w:rsidRDefault="00FA4DF5">
            <w:pPr>
              <w:jc w:val="right"/>
              <w:rPr>
                <w:sz w:val="20"/>
                <w:szCs w:val="20"/>
              </w:rPr>
            </w:pPr>
          </w:p>
        </w:tc>
        <w:tc>
          <w:tcPr>
            <w:tcW w:w="177" w:type="dxa"/>
            <w:tcBorders>
              <w:top w:val="nil"/>
              <w:left w:val="nil"/>
              <w:bottom w:val="nil"/>
              <w:right w:val="nil"/>
            </w:tcBorders>
            <w:shd w:val="clear" w:color="auto" w:fill="auto"/>
            <w:noWrap/>
            <w:vAlign w:val="center"/>
            <w:hideMark/>
          </w:tcPr>
          <w:p w14:paraId="50B1AC36" w14:textId="77777777" w:rsidR="00FA4DF5" w:rsidRDefault="00FA4DF5">
            <w:pPr>
              <w:jc w:val="right"/>
              <w:rPr>
                <w:sz w:val="20"/>
                <w:szCs w:val="20"/>
              </w:rPr>
            </w:pPr>
          </w:p>
        </w:tc>
        <w:tc>
          <w:tcPr>
            <w:tcW w:w="101" w:type="dxa"/>
            <w:tcBorders>
              <w:top w:val="nil"/>
              <w:left w:val="nil"/>
              <w:bottom w:val="nil"/>
              <w:right w:val="nil"/>
            </w:tcBorders>
            <w:shd w:val="clear" w:color="auto" w:fill="auto"/>
            <w:noWrap/>
            <w:vAlign w:val="center"/>
            <w:hideMark/>
          </w:tcPr>
          <w:p w14:paraId="4B2870E7" w14:textId="77777777" w:rsidR="00FA4DF5" w:rsidRDefault="00FA4DF5">
            <w:pPr>
              <w:jc w:val="right"/>
              <w:rPr>
                <w:sz w:val="20"/>
                <w:szCs w:val="20"/>
              </w:rPr>
            </w:pPr>
          </w:p>
        </w:tc>
        <w:tc>
          <w:tcPr>
            <w:tcW w:w="101" w:type="dxa"/>
            <w:tcBorders>
              <w:top w:val="nil"/>
              <w:left w:val="nil"/>
              <w:bottom w:val="nil"/>
              <w:right w:val="nil"/>
            </w:tcBorders>
            <w:shd w:val="clear" w:color="auto" w:fill="auto"/>
            <w:noWrap/>
            <w:vAlign w:val="center"/>
            <w:hideMark/>
          </w:tcPr>
          <w:p w14:paraId="69802D39" w14:textId="77777777" w:rsidR="00FA4DF5" w:rsidRDefault="00FA4DF5">
            <w:pPr>
              <w:jc w:val="right"/>
              <w:rPr>
                <w:sz w:val="20"/>
                <w:szCs w:val="20"/>
              </w:rPr>
            </w:pPr>
          </w:p>
        </w:tc>
        <w:tc>
          <w:tcPr>
            <w:tcW w:w="101" w:type="dxa"/>
            <w:tcBorders>
              <w:top w:val="nil"/>
              <w:left w:val="nil"/>
              <w:bottom w:val="nil"/>
              <w:right w:val="nil"/>
            </w:tcBorders>
            <w:shd w:val="clear" w:color="auto" w:fill="auto"/>
            <w:noWrap/>
            <w:vAlign w:val="center"/>
            <w:hideMark/>
          </w:tcPr>
          <w:p w14:paraId="7553E5B4" w14:textId="77777777" w:rsidR="00FA4DF5" w:rsidRDefault="00FA4DF5">
            <w:pPr>
              <w:jc w:val="right"/>
              <w:rPr>
                <w:sz w:val="20"/>
                <w:szCs w:val="20"/>
              </w:rPr>
            </w:pPr>
          </w:p>
        </w:tc>
        <w:tc>
          <w:tcPr>
            <w:tcW w:w="122" w:type="dxa"/>
            <w:tcBorders>
              <w:top w:val="nil"/>
              <w:left w:val="nil"/>
              <w:bottom w:val="nil"/>
              <w:right w:val="nil"/>
            </w:tcBorders>
            <w:shd w:val="clear" w:color="auto" w:fill="auto"/>
            <w:noWrap/>
            <w:vAlign w:val="center"/>
            <w:hideMark/>
          </w:tcPr>
          <w:p w14:paraId="2EA03037" w14:textId="77777777" w:rsidR="00FA4DF5" w:rsidRDefault="00FA4DF5">
            <w:pPr>
              <w:jc w:val="right"/>
              <w:rPr>
                <w:sz w:val="20"/>
                <w:szCs w:val="20"/>
              </w:rPr>
            </w:pPr>
          </w:p>
        </w:tc>
        <w:tc>
          <w:tcPr>
            <w:tcW w:w="90" w:type="dxa"/>
            <w:tcBorders>
              <w:top w:val="nil"/>
              <w:left w:val="nil"/>
              <w:bottom w:val="nil"/>
              <w:right w:val="nil"/>
            </w:tcBorders>
            <w:shd w:val="clear" w:color="auto" w:fill="auto"/>
            <w:noWrap/>
            <w:vAlign w:val="center"/>
            <w:hideMark/>
          </w:tcPr>
          <w:p w14:paraId="52667157" w14:textId="77777777" w:rsidR="00FA4DF5" w:rsidRDefault="00FA4DF5">
            <w:pPr>
              <w:jc w:val="right"/>
              <w:rPr>
                <w:sz w:val="20"/>
                <w:szCs w:val="20"/>
              </w:rPr>
            </w:pPr>
          </w:p>
        </w:tc>
        <w:tc>
          <w:tcPr>
            <w:tcW w:w="1675" w:type="dxa"/>
            <w:tcBorders>
              <w:top w:val="nil"/>
              <w:left w:val="nil"/>
              <w:bottom w:val="nil"/>
              <w:right w:val="nil"/>
            </w:tcBorders>
            <w:shd w:val="clear" w:color="auto" w:fill="auto"/>
            <w:noWrap/>
            <w:vAlign w:val="center"/>
            <w:hideMark/>
          </w:tcPr>
          <w:p w14:paraId="3F16FBC2" w14:textId="77777777" w:rsidR="00FA4DF5" w:rsidRDefault="00FA4DF5">
            <w:pPr>
              <w:jc w:val="right"/>
              <w:rPr>
                <w:sz w:val="20"/>
                <w:szCs w:val="20"/>
              </w:rPr>
            </w:pPr>
          </w:p>
        </w:tc>
        <w:tc>
          <w:tcPr>
            <w:tcW w:w="46" w:type="dxa"/>
            <w:tcBorders>
              <w:top w:val="nil"/>
              <w:left w:val="nil"/>
              <w:bottom w:val="nil"/>
              <w:right w:val="nil"/>
            </w:tcBorders>
            <w:shd w:val="clear" w:color="auto" w:fill="auto"/>
            <w:noWrap/>
            <w:vAlign w:val="center"/>
            <w:hideMark/>
          </w:tcPr>
          <w:p w14:paraId="6FC5238E"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78F1F5DE"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75724C71"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3CEB8290"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31FC9D5D"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432DC476"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4DD6CE3D"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44B2DF2A"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1D282268"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27BCA296"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0AB60DD1" w14:textId="77777777" w:rsidR="00FA4DF5" w:rsidRDefault="00FA4DF5">
            <w:pPr>
              <w:rPr>
                <w:sz w:val="20"/>
                <w:szCs w:val="20"/>
              </w:rPr>
            </w:pPr>
          </w:p>
        </w:tc>
        <w:tc>
          <w:tcPr>
            <w:tcW w:w="447" w:type="dxa"/>
            <w:tcBorders>
              <w:top w:val="nil"/>
              <w:left w:val="nil"/>
              <w:bottom w:val="nil"/>
              <w:right w:val="nil"/>
            </w:tcBorders>
            <w:shd w:val="clear" w:color="auto" w:fill="auto"/>
            <w:noWrap/>
            <w:vAlign w:val="center"/>
            <w:hideMark/>
          </w:tcPr>
          <w:p w14:paraId="053CBCAF" w14:textId="77777777" w:rsidR="00FA4DF5" w:rsidRDefault="00FA4DF5">
            <w:pPr>
              <w:rPr>
                <w:sz w:val="20"/>
                <w:szCs w:val="20"/>
              </w:rPr>
            </w:pPr>
          </w:p>
        </w:tc>
      </w:tr>
      <w:tr w:rsidR="00FA4DF5" w14:paraId="6773D860" w14:textId="77777777" w:rsidTr="00FA4DF5">
        <w:trPr>
          <w:trHeight w:val="270"/>
        </w:trPr>
        <w:tc>
          <w:tcPr>
            <w:tcW w:w="6365" w:type="dxa"/>
            <w:gridSpan w:val="21"/>
            <w:tcBorders>
              <w:top w:val="single" w:sz="8" w:space="0" w:color="auto"/>
              <w:left w:val="single" w:sz="8" w:space="0" w:color="auto"/>
              <w:bottom w:val="nil"/>
              <w:right w:val="nil"/>
            </w:tcBorders>
            <w:shd w:val="clear" w:color="auto" w:fill="auto"/>
            <w:noWrap/>
            <w:vAlign w:val="center"/>
            <w:hideMark/>
          </w:tcPr>
          <w:p w14:paraId="749D9342" w14:textId="77777777" w:rsidR="00FA4DF5" w:rsidRDefault="00FA4DF5">
            <w:pPr>
              <w:rPr>
                <w:b/>
                <w:bCs/>
                <w:color w:val="000000"/>
                <w:sz w:val="20"/>
                <w:szCs w:val="20"/>
                <w:u w:val="single"/>
              </w:rPr>
            </w:pPr>
            <w:r>
              <w:rPr>
                <w:b/>
                <w:bCs/>
                <w:color w:val="000000"/>
                <w:sz w:val="20"/>
                <w:szCs w:val="20"/>
                <w:u w:val="single"/>
              </w:rPr>
              <w:t>Stanovení třídy využití</w:t>
            </w:r>
          </w:p>
        </w:tc>
        <w:tc>
          <w:tcPr>
            <w:tcW w:w="3041" w:type="dxa"/>
            <w:gridSpan w:val="8"/>
            <w:tcBorders>
              <w:top w:val="single" w:sz="8" w:space="0" w:color="auto"/>
              <w:left w:val="nil"/>
              <w:bottom w:val="nil"/>
              <w:right w:val="single" w:sz="8" w:space="0" w:color="000000"/>
            </w:tcBorders>
            <w:shd w:val="clear" w:color="auto" w:fill="auto"/>
            <w:noWrap/>
            <w:vAlign w:val="center"/>
            <w:hideMark/>
          </w:tcPr>
          <w:p w14:paraId="5C2736F2" w14:textId="77777777" w:rsidR="00FA4DF5" w:rsidRDefault="00FA4DF5">
            <w:pPr>
              <w:jc w:val="center"/>
              <w:rPr>
                <w:b/>
                <w:bCs/>
                <w:color w:val="70AD47"/>
                <w:sz w:val="22"/>
                <w:szCs w:val="22"/>
                <w:u w:val="single"/>
              </w:rPr>
            </w:pPr>
            <w:r>
              <w:rPr>
                <w:b/>
                <w:bCs/>
                <w:color w:val="70AD47"/>
                <w:sz w:val="22"/>
                <w:szCs w:val="22"/>
                <w:u w:val="single"/>
              </w:rPr>
              <w:t> </w:t>
            </w:r>
          </w:p>
        </w:tc>
      </w:tr>
      <w:tr w:rsidR="00FA4DF5" w14:paraId="48285904" w14:textId="77777777" w:rsidTr="00FA4DF5">
        <w:trPr>
          <w:trHeight w:val="270"/>
        </w:trPr>
        <w:tc>
          <w:tcPr>
            <w:tcW w:w="5207" w:type="dxa"/>
            <w:gridSpan w:val="17"/>
            <w:tcBorders>
              <w:top w:val="nil"/>
              <w:left w:val="single" w:sz="8" w:space="0" w:color="auto"/>
              <w:bottom w:val="nil"/>
              <w:right w:val="nil"/>
            </w:tcBorders>
            <w:shd w:val="clear" w:color="auto" w:fill="auto"/>
            <w:noWrap/>
            <w:vAlign w:val="center"/>
            <w:hideMark/>
          </w:tcPr>
          <w:p w14:paraId="6240BB62" w14:textId="77777777" w:rsidR="00FA4DF5" w:rsidRDefault="00FA4DF5">
            <w:pPr>
              <w:jc w:val="right"/>
              <w:rPr>
                <w:color w:val="000000"/>
                <w:sz w:val="20"/>
                <w:szCs w:val="20"/>
              </w:rPr>
            </w:pPr>
            <w:r>
              <w:rPr>
                <w:color w:val="000000"/>
                <w:sz w:val="20"/>
                <w:szCs w:val="20"/>
              </w:rPr>
              <w:t>Prostory určené ke spánku:</w:t>
            </w:r>
          </w:p>
        </w:tc>
        <w:tc>
          <w:tcPr>
            <w:tcW w:w="788" w:type="dxa"/>
            <w:gridSpan w:val="3"/>
            <w:tcBorders>
              <w:top w:val="nil"/>
              <w:left w:val="nil"/>
              <w:bottom w:val="nil"/>
              <w:right w:val="nil"/>
            </w:tcBorders>
            <w:shd w:val="clear" w:color="000000" w:fill="D9D9D9"/>
            <w:noWrap/>
            <w:vAlign w:val="center"/>
            <w:hideMark/>
          </w:tcPr>
          <w:p w14:paraId="686176A4" w14:textId="77777777" w:rsidR="00FA4DF5" w:rsidRDefault="00FA4DF5">
            <w:pPr>
              <w:jc w:val="center"/>
              <w:rPr>
                <w:color w:val="000000"/>
                <w:sz w:val="20"/>
                <w:szCs w:val="20"/>
              </w:rPr>
            </w:pPr>
            <w:r>
              <w:rPr>
                <w:color w:val="000000"/>
                <w:sz w:val="20"/>
                <w:szCs w:val="20"/>
              </w:rPr>
              <w:t>ANO</w:t>
            </w:r>
          </w:p>
        </w:tc>
        <w:tc>
          <w:tcPr>
            <w:tcW w:w="370" w:type="dxa"/>
            <w:tcBorders>
              <w:top w:val="nil"/>
              <w:left w:val="nil"/>
              <w:bottom w:val="nil"/>
              <w:right w:val="nil"/>
            </w:tcBorders>
            <w:shd w:val="clear" w:color="auto" w:fill="auto"/>
            <w:noWrap/>
            <w:vAlign w:val="center"/>
            <w:hideMark/>
          </w:tcPr>
          <w:p w14:paraId="7E115BD3" w14:textId="77777777" w:rsidR="00FA4DF5" w:rsidRDefault="00FA4DF5">
            <w:pPr>
              <w:jc w:val="center"/>
              <w:rPr>
                <w:color w:val="000000"/>
                <w:sz w:val="20"/>
                <w:szCs w:val="20"/>
              </w:rPr>
            </w:pPr>
          </w:p>
        </w:tc>
        <w:tc>
          <w:tcPr>
            <w:tcW w:w="3041" w:type="dxa"/>
            <w:gridSpan w:val="8"/>
            <w:vMerge w:val="restart"/>
            <w:tcBorders>
              <w:top w:val="nil"/>
              <w:left w:val="nil"/>
              <w:bottom w:val="single" w:sz="8" w:space="0" w:color="000000"/>
              <w:right w:val="single" w:sz="8" w:space="0" w:color="000000"/>
            </w:tcBorders>
            <w:shd w:val="clear" w:color="auto" w:fill="auto"/>
            <w:vAlign w:val="center"/>
            <w:hideMark/>
          </w:tcPr>
          <w:p w14:paraId="7AFC9D38" w14:textId="77777777" w:rsidR="00FA4DF5" w:rsidRDefault="00FA4DF5">
            <w:pPr>
              <w:jc w:val="center"/>
              <w:rPr>
                <w:sz w:val="20"/>
                <w:szCs w:val="20"/>
              </w:rPr>
            </w:pPr>
          </w:p>
        </w:tc>
      </w:tr>
      <w:tr w:rsidR="00FA4DF5" w14:paraId="65916A9E" w14:textId="77777777" w:rsidTr="00FA4DF5">
        <w:trPr>
          <w:trHeight w:val="270"/>
        </w:trPr>
        <w:tc>
          <w:tcPr>
            <w:tcW w:w="5207" w:type="dxa"/>
            <w:gridSpan w:val="17"/>
            <w:tcBorders>
              <w:top w:val="nil"/>
              <w:left w:val="single" w:sz="8" w:space="0" w:color="auto"/>
              <w:bottom w:val="nil"/>
              <w:right w:val="nil"/>
            </w:tcBorders>
            <w:shd w:val="clear" w:color="auto" w:fill="auto"/>
            <w:noWrap/>
            <w:vAlign w:val="center"/>
            <w:hideMark/>
          </w:tcPr>
          <w:p w14:paraId="4EEBC90A" w14:textId="77777777" w:rsidR="00FA4DF5" w:rsidRDefault="00FA4DF5">
            <w:pPr>
              <w:jc w:val="right"/>
              <w:rPr>
                <w:color w:val="000000"/>
                <w:sz w:val="20"/>
                <w:szCs w:val="20"/>
              </w:rPr>
            </w:pPr>
            <w:r>
              <w:rPr>
                <w:color w:val="000000"/>
                <w:sz w:val="20"/>
                <w:szCs w:val="20"/>
              </w:rPr>
              <w:t>Prostory určené pro veřejnost:</w:t>
            </w:r>
          </w:p>
        </w:tc>
        <w:tc>
          <w:tcPr>
            <w:tcW w:w="788" w:type="dxa"/>
            <w:gridSpan w:val="3"/>
            <w:tcBorders>
              <w:top w:val="nil"/>
              <w:left w:val="nil"/>
              <w:bottom w:val="nil"/>
              <w:right w:val="nil"/>
            </w:tcBorders>
            <w:shd w:val="clear" w:color="000000" w:fill="D9D9D9"/>
            <w:noWrap/>
            <w:vAlign w:val="center"/>
            <w:hideMark/>
          </w:tcPr>
          <w:p w14:paraId="468C75A0" w14:textId="77777777" w:rsidR="00FA4DF5" w:rsidRDefault="00FA4DF5">
            <w:pPr>
              <w:jc w:val="center"/>
              <w:rPr>
                <w:color w:val="000000"/>
                <w:sz w:val="20"/>
                <w:szCs w:val="20"/>
              </w:rPr>
            </w:pPr>
            <w:r>
              <w:rPr>
                <w:color w:val="000000"/>
                <w:sz w:val="20"/>
                <w:szCs w:val="20"/>
              </w:rPr>
              <w:t>ANO</w:t>
            </w:r>
          </w:p>
        </w:tc>
        <w:tc>
          <w:tcPr>
            <w:tcW w:w="370" w:type="dxa"/>
            <w:tcBorders>
              <w:top w:val="nil"/>
              <w:left w:val="nil"/>
              <w:bottom w:val="nil"/>
              <w:right w:val="nil"/>
            </w:tcBorders>
            <w:shd w:val="clear" w:color="auto" w:fill="auto"/>
            <w:noWrap/>
            <w:vAlign w:val="center"/>
            <w:hideMark/>
          </w:tcPr>
          <w:p w14:paraId="158951AC" w14:textId="77777777" w:rsidR="00FA4DF5" w:rsidRDefault="00FA4DF5">
            <w:pPr>
              <w:jc w:val="center"/>
              <w:rPr>
                <w:color w:val="000000"/>
                <w:sz w:val="20"/>
                <w:szCs w:val="20"/>
              </w:rPr>
            </w:pPr>
          </w:p>
        </w:tc>
        <w:tc>
          <w:tcPr>
            <w:tcW w:w="3041" w:type="dxa"/>
            <w:gridSpan w:val="8"/>
            <w:vMerge/>
            <w:tcBorders>
              <w:top w:val="nil"/>
              <w:left w:val="nil"/>
              <w:bottom w:val="nil"/>
              <w:right w:val="nil"/>
            </w:tcBorders>
            <w:vAlign w:val="center"/>
            <w:hideMark/>
          </w:tcPr>
          <w:p w14:paraId="500EDF18" w14:textId="77777777" w:rsidR="00FA4DF5" w:rsidRDefault="00FA4DF5">
            <w:pPr>
              <w:rPr>
                <w:sz w:val="20"/>
                <w:szCs w:val="20"/>
              </w:rPr>
            </w:pPr>
          </w:p>
        </w:tc>
      </w:tr>
      <w:tr w:rsidR="00FA4DF5" w14:paraId="233AA60E" w14:textId="77777777" w:rsidTr="00FA4DF5">
        <w:trPr>
          <w:trHeight w:val="270"/>
        </w:trPr>
        <w:tc>
          <w:tcPr>
            <w:tcW w:w="5207" w:type="dxa"/>
            <w:gridSpan w:val="17"/>
            <w:tcBorders>
              <w:top w:val="nil"/>
              <w:left w:val="single" w:sz="8" w:space="0" w:color="auto"/>
              <w:bottom w:val="single" w:sz="8" w:space="0" w:color="auto"/>
              <w:right w:val="nil"/>
            </w:tcBorders>
            <w:shd w:val="clear" w:color="auto" w:fill="auto"/>
            <w:noWrap/>
            <w:vAlign w:val="center"/>
            <w:hideMark/>
          </w:tcPr>
          <w:p w14:paraId="16B41381" w14:textId="77777777" w:rsidR="00FA4DF5" w:rsidRDefault="00FA4DF5">
            <w:pPr>
              <w:jc w:val="right"/>
              <w:rPr>
                <w:color w:val="000000"/>
                <w:sz w:val="20"/>
                <w:szCs w:val="20"/>
              </w:rPr>
            </w:pPr>
            <w:r>
              <w:rPr>
                <w:color w:val="000000"/>
                <w:sz w:val="20"/>
                <w:szCs w:val="20"/>
              </w:rPr>
              <w:t>Prostory pro osoby vyžadující asistenci při evakuaci:</w:t>
            </w:r>
          </w:p>
        </w:tc>
        <w:tc>
          <w:tcPr>
            <w:tcW w:w="788" w:type="dxa"/>
            <w:gridSpan w:val="3"/>
            <w:tcBorders>
              <w:top w:val="nil"/>
              <w:left w:val="nil"/>
              <w:bottom w:val="single" w:sz="8" w:space="0" w:color="auto"/>
              <w:right w:val="nil"/>
            </w:tcBorders>
            <w:shd w:val="clear" w:color="000000" w:fill="D9D9D9"/>
            <w:noWrap/>
            <w:vAlign w:val="center"/>
            <w:hideMark/>
          </w:tcPr>
          <w:p w14:paraId="155D091E" w14:textId="77777777" w:rsidR="00FA4DF5" w:rsidRDefault="00FA4DF5">
            <w:pPr>
              <w:jc w:val="center"/>
              <w:rPr>
                <w:color w:val="000000"/>
                <w:sz w:val="20"/>
                <w:szCs w:val="20"/>
              </w:rPr>
            </w:pPr>
            <w:r>
              <w:rPr>
                <w:color w:val="000000"/>
                <w:sz w:val="20"/>
                <w:szCs w:val="20"/>
              </w:rPr>
              <w:t>NE</w:t>
            </w:r>
          </w:p>
        </w:tc>
        <w:tc>
          <w:tcPr>
            <w:tcW w:w="370" w:type="dxa"/>
            <w:tcBorders>
              <w:top w:val="nil"/>
              <w:left w:val="nil"/>
              <w:bottom w:val="single" w:sz="8" w:space="0" w:color="auto"/>
              <w:right w:val="nil"/>
            </w:tcBorders>
            <w:shd w:val="clear" w:color="auto" w:fill="auto"/>
            <w:noWrap/>
            <w:vAlign w:val="center"/>
            <w:hideMark/>
          </w:tcPr>
          <w:p w14:paraId="2D3381CA" w14:textId="77777777" w:rsidR="00FA4DF5" w:rsidRDefault="00FA4DF5">
            <w:pPr>
              <w:jc w:val="center"/>
              <w:rPr>
                <w:b/>
                <w:bCs/>
                <w:color w:val="FF0000"/>
                <w:sz w:val="20"/>
                <w:szCs w:val="20"/>
              </w:rPr>
            </w:pPr>
            <w:r>
              <w:rPr>
                <w:b/>
                <w:bCs/>
                <w:color w:val="FF0000"/>
                <w:sz w:val="20"/>
                <w:szCs w:val="20"/>
              </w:rPr>
              <w:t> </w:t>
            </w:r>
          </w:p>
        </w:tc>
        <w:tc>
          <w:tcPr>
            <w:tcW w:w="3041" w:type="dxa"/>
            <w:gridSpan w:val="8"/>
            <w:vMerge/>
            <w:tcBorders>
              <w:top w:val="nil"/>
              <w:left w:val="nil"/>
              <w:bottom w:val="single" w:sz="8" w:space="0" w:color="auto"/>
              <w:right w:val="nil"/>
            </w:tcBorders>
            <w:vAlign w:val="center"/>
            <w:hideMark/>
          </w:tcPr>
          <w:p w14:paraId="2C06FD92" w14:textId="77777777" w:rsidR="00FA4DF5" w:rsidRDefault="00FA4DF5">
            <w:pPr>
              <w:rPr>
                <w:sz w:val="20"/>
                <w:szCs w:val="20"/>
              </w:rPr>
            </w:pPr>
          </w:p>
        </w:tc>
      </w:tr>
      <w:tr w:rsidR="00FA4DF5" w14:paraId="2B60C17D" w14:textId="77777777" w:rsidTr="00FA4DF5">
        <w:trPr>
          <w:trHeight w:val="102"/>
        </w:trPr>
        <w:tc>
          <w:tcPr>
            <w:tcW w:w="451" w:type="dxa"/>
            <w:tcBorders>
              <w:top w:val="nil"/>
              <w:left w:val="nil"/>
              <w:bottom w:val="nil"/>
              <w:right w:val="nil"/>
            </w:tcBorders>
            <w:shd w:val="clear" w:color="auto" w:fill="auto"/>
            <w:noWrap/>
            <w:vAlign w:val="center"/>
            <w:hideMark/>
          </w:tcPr>
          <w:p w14:paraId="1C011CAA" w14:textId="77777777" w:rsidR="00FA4DF5" w:rsidRDefault="00FA4DF5">
            <w:pPr>
              <w:jc w:val="center"/>
              <w:rPr>
                <w:b/>
                <w:bCs/>
                <w:color w:val="FF0000"/>
                <w:sz w:val="20"/>
                <w:szCs w:val="20"/>
              </w:rPr>
            </w:pPr>
          </w:p>
        </w:tc>
        <w:tc>
          <w:tcPr>
            <w:tcW w:w="447" w:type="dxa"/>
            <w:tcBorders>
              <w:top w:val="nil"/>
              <w:left w:val="nil"/>
              <w:bottom w:val="nil"/>
              <w:right w:val="nil"/>
            </w:tcBorders>
            <w:shd w:val="clear" w:color="auto" w:fill="auto"/>
            <w:noWrap/>
            <w:vAlign w:val="center"/>
            <w:hideMark/>
          </w:tcPr>
          <w:p w14:paraId="71B5545C" w14:textId="77777777" w:rsidR="00FA4DF5" w:rsidRDefault="00FA4DF5">
            <w:pPr>
              <w:rPr>
                <w:sz w:val="20"/>
                <w:szCs w:val="20"/>
              </w:rPr>
            </w:pPr>
          </w:p>
        </w:tc>
        <w:tc>
          <w:tcPr>
            <w:tcW w:w="445" w:type="dxa"/>
            <w:tcBorders>
              <w:top w:val="nil"/>
              <w:left w:val="nil"/>
              <w:bottom w:val="nil"/>
              <w:right w:val="nil"/>
            </w:tcBorders>
            <w:shd w:val="clear" w:color="auto" w:fill="auto"/>
            <w:noWrap/>
            <w:vAlign w:val="center"/>
            <w:hideMark/>
          </w:tcPr>
          <w:p w14:paraId="54724CE0" w14:textId="77777777" w:rsidR="00FA4DF5" w:rsidRDefault="00FA4DF5">
            <w:pPr>
              <w:rPr>
                <w:sz w:val="20"/>
                <w:szCs w:val="20"/>
              </w:rPr>
            </w:pPr>
          </w:p>
        </w:tc>
        <w:tc>
          <w:tcPr>
            <w:tcW w:w="444" w:type="dxa"/>
            <w:tcBorders>
              <w:top w:val="nil"/>
              <w:left w:val="nil"/>
              <w:bottom w:val="nil"/>
              <w:right w:val="nil"/>
            </w:tcBorders>
            <w:shd w:val="clear" w:color="auto" w:fill="auto"/>
            <w:noWrap/>
            <w:vAlign w:val="center"/>
            <w:hideMark/>
          </w:tcPr>
          <w:p w14:paraId="3FFC062A" w14:textId="77777777" w:rsidR="00FA4DF5" w:rsidRDefault="00FA4DF5">
            <w:pPr>
              <w:rPr>
                <w:sz w:val="20"/>
                <w:szCs w:val="20"/>
              </w:rPr>
            </w:pPr>
          </w:p>
        </w:tc>
        <w:tc>
          <w:tcPr>
            <w:tcW w:w="444" w:type="dxa"/>
            <w:tcBorders>
              <w:top w:val="nil"/>
              <w:left w:val="nil"/>
              <w:bottom w:val="nil"/>
              <w:right w:val="nil"/>
            </w:tcBorders>
            <w:shd w:val="clear" w:color="auto" w:fill="auto"/>
            <w:noWrap/>
            <w:vAlign w:val="center"/>
            <w:hideMark/>
          </w:tcPr>
          <w:p w14:paraId="42855C77"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11390797"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53E4F4D6"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11918C70" w14:textId="77777777" w:rsidR="00FA4DF5" w:rsidRDefault="00FA4DF5">
            <w:pPr>
              <w:rPr>
                <w:sz w:val="20"/>
                <w:szCs w:val="20"/>
              </w:rPr>
            </w:pPr>
          </w:p>
        </w:tc>
        <w:tc>
          <w:tcPr>
            <w:tcW w:w="108" w:type="dxa"/>
            <w:tcBorders>
              <w:top w:val="nil"/>
              <w:left w:val="nil"/>
              <w:bottom w:val="nil"/>
              <w:right w:val="nil"/>
            </w:tcBorders>
            <w:shd w:val="clear" w:color="auto" w:fill="auto"/>
            <w:noWrap/>
            <w:vAlign w:val="center"/>
            <w:hideMark/>
          </w:tcPr>
          <w:p w14:paraId="17C55E3C"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09BCEA75" w14:textId="77777777" w:rsidR="00FA4DF5" w:rsidRDefault="00FA4DF5">
            <w:pPr>
              <w:rPr>
                <w:sz w:val="20"/>
                <w:szCs w:val="20"/>
              </w:rPr>
            </w:pPr>
          </w:p>
        </w:tc>
        <w:tc>
          <w:tcPr>
            <w:tcW w:w="177" w:type="dxa"/>
            <w:tcBorders>
              <w:top w:val="nil"/>
              <w:left w:val="nil"/>
              <w:bottom w:val="nil"/>
              <w:right w:val="nil"/>
            </w:tcBorders>
            <w:shd w:val="clear" w:color="auto" w:fill="auto"/>
            <w:noWrap/>
            <w:vAlign w:val="center"/>
            <w:hideMark/>
          </w:tcPr>
          <w:p w14:paraId="2F7B48FF"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27AC24D9"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120E53E1" w14:textId="77777777" w:rsidR="00FA4DF5" w:rsidRDefault="00FA4DF5">
            <w:pPr>
              <w:rPr>
                <w:sz w:val="20"/>
                <w:szCs w:val="20"/>
              </w:rPr>
            </w:pPr>
          </w:p>
        </w:tc>
        <w:tc>
          <w:tcPr>
            <w:tcW w:w="101" w:type="dxa"/>
            <w:tcBorders>
              <w:top w:val="nil"/>
              <w:left w:val="nil"/>
              <w:bottom w:val="nil"/>
              <w:right w:val="nil"/>
            </w:tcBorders>
            <w:shd w:val="clear" w:color="auto" w:fill="auto"/>
            <w:noWrap/>
            <w:vAlign w:val="center"/>
            <w:hideMark/>
          </w:tcPr>
          <w:p w14:paraId="4AB4974F" w14:textId="77777777" w:rsidR="00FA4DF5" w:rsidRDefault="00FA4DF5">
            <w:pPr>
              <w:rPr>
                <w:sz w:val="20"/>
                <w:szCs w:val="20"/>
              </w:rPr>
            </w:pPr>
          </w:p>
        </w:tc>
        <w:tc>
          <w:tcPr>
            <w:tcW w:w="122" w:type="dxa"/>
            <w:tcBorders>
              <w:top w:val="nil"/>
              <w:left w:val="nil"/>
              <w:bottom w:val="nil"/>
              <w:right w:val="nil"/>
            </w:tcBorders>
            <w:shd w:val="clear" w:color="auto" w:fill="auto"/>
            <w:noWrap/>
            <w:vAlign w:val="center"/>
            <w:hideMark/>
          </w:tcPr>
          <w:p w14:paraId="0D1D90DD" w14:textId="77777777" w:rsidR="00FA4DF5" w:rsidRDefault="00FA4DF5">
            <w:pPr>
              <w:rPr>
                <w:sz w:val="20"/>
                <w:szCs w:val="20"/>
              </w:rPr>
            </w:pPr>
          </w:p>
        </w:tc>
        <w:tc>
          <w:tcPr>
            <w:tcW w:w="90" w:type="dxa"/>
            <w:tcBorders>
              <w:top w:val="nil"/>
              <w:left w:val="nil"/>
              <w:bottom w:val="nil"/>
              <w:right w:val="nil"/>
            </w:tcBorders>
            <w:shd w:val="clear" w:color="auto" w:fill="auto"/>
            <w:noWrap/>
            <w:vAlign w:val="center"/>
            <w:hideMark/>
          </w:tcPr>
          <w:p w14:paraId="424B159F" w14:textId="77777777" w:rsidR="00FA4DF5" w:rsidRDefault="00FA4DF5">
            <w:pPr>
              <w:rPr>
                <w:sz w:val="20"/>
                <w:szCs w:val="20"/>
              </w:rPr>
            </w:pPr>
          </w:p>
        </w:tc>
        <w:tc>
          <w:tcPr>
            <w:tcW w:w="1675" w:type="dxa"/>
            <w:tcBorders>
              <w:top w:val="nil"/>
              <w:left w:val="nil"/>
              <w:bottom w:val="nil"/>
              <w:right w:val="nil"/>
            </w:tcBorders>
            <w:shd w:val="clear" w:color="auto" w:fill="auto"/>
            <w:noWrap/>
            <w:vAlign w:val="center"/>
            <w:hideMark/>
          </w:tcPr>
          <w:p w14:paraId="55895C76" w14:textId="77777777" w:rsidR="00FA4DF5" w:rsidRDefault="00FA4DF5">
            <w:pPr>
              <w:rPr>
                <w:sz w:val="20"/>
                <w:szCs w:val="20"/>
              </w:rPr>
            </w:pPr>
          </w:p>
        </w:tc>
        <w:tc>
          <w:tcPr>
            <w:tcW w:w="46" w:type="dxa"/>
            <w:tcBorders>
              <w:top w:val="nil"/>
              <w:left w:val="nil"/>
              <w:bottom w:val="nil"/>
              <w:right w:val="nil"/>
            </w:tcBorders>
            <w:shd w:val="clear" w:color="auto" w:fill="auto"/>
            <w:noWrap/>
            <w:vAlign w:val="center"/>
            <w:hideMark/>
          </w:tcPr>
          <w:p w14:paraId="11AD03B2"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35737B90"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2A580A1F"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0E8913B1"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3BC52B44"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1619B1DD"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72C91CCF"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286333E0"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00C9E9D4"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5D1C0823"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1771014F" w14:textId="77777777" w:rsidR="00FA4DF5" w:rsidRDefault="00FA4DF5">
            <w:pPr>
              <w:rPr>
                <w:sz w:val="20"/>
                <w:szCs w:val="20"/>
              </w:rPr>
            </w:pPr>
          </w:p>
        </w:tc>
        <w:tc>
          <w:tcPr>
            <w:tcW w:w="447" w:type="dxa"/>
            <w:tcBorders>
              <w:top w:val="nil"/>
              <w:left w:val="nil"/>
              <w:bottom w:val="nil"/>
              <w:right w:val="nil"/>
            </w:tcBorders>
            <w:shd w:val="clear" w:color="auto" w:fill="auto"/>
            <w:noWrap/>
            <w:vAlign w:val="center"/>
            <w:hideMark/>
          </w:tcPr>
          <w:p w14:paraId="654BE36D" w14:textId="77777777" w:rsidR="00FA4DF5" w:rsidRDefault="00FA4DF5">
            <w:pPr>
              <w:rPr>
                <w:sz w:val="20"/>
                <w:szCs w:val="20"/>
              </w:rPr>
            </w:pPr>
          </w:p>
        </w:tc>
      </w:tr>
      <w:tr w:rsidR="00FA4DF5" w14:paraId="460514FC" w14:textId="77777777" w:rsidTr="00FA4DF5">
        <w:trPr>
          <w:trHeight w:val="270"/>
        </w:trPr>
        <w:tc>
          <w:tcPr>
            <w:tcW w:w="6365" w:type="dxa"/>
            <w:gridSpan w:val="21"/>
            <w:tcBorders>
              <w:top w:val="single" w:sz="8" w:space="0" w:color="auto"/>
              <w:left w:val="single" w:sz="8" w:space="0" w:color="auto"/>
              <w:bottom w:val="nil"/>
              <w:right w:val="nil"/>
            </w:tcBorders>
            <w:shd w:val="clear" w:color="auto" w:fill="auto"/>
            <w:noWrap/>
            <w:vAlign w:val="center"/>
            <w:hideMark/>
          </w:tcPr>
          <w:p w14:paraId="39EB99AC" w14:textId="77777777" w:rsidR="00FA4DF5" w:rsidRDefault="00FA4DF5">
            <w:pPr>
              <w:rPr>
                <w:b/>
                <w:bCs/>
                <w:color w:val="000000"/>
                <w:sz w:val="20"/>
                <w:szCs w:val="20"/>
                <w:u w:val="single"/>
              </w:rPr>
            </w:pPr>
            <w:r>
              <w:rPr>
                <w:b/>
                <w:bCs/>
                <w:color w:val="000000"/>
                <w:sz w:val="20"/>
                <w:szCs w:val="20"/>
                <w:u w:val="single"/>
              </w:rPr>
              <w:t>Další informace potřebné pro stanovení kategorie stavby</w:t>
            </w:r>
          </w:p>
        </w:tc>
        <w:tc>
          <w:tcPr>
            <w:tcW w:w="3041" w:type="dxa"/>
            <w:gridSpan w:val="8"/>
            <w:tcBorders>
              <w:top w:val="single" w:sz="8" w:space="0" w:color="auto"/>
              <w:left w:val="nil"/>
              <w:bottom w:val="nil"/>
              <w:right w:val="single" w:sz="8" w:space="0" w:color="000000"/>
            </w:tcBorders>
            <w:shd w:val="clear" w:color="auto" w:fill="auto"/>
            <w:noWrap/>
            <w:vAlign w:val="center"/>
            <w:hideMark/>
          </w:tcPr>
          <w:p w14:paraId="1E733D58" w14:textId="77777777" w:rsidR="00FA4DF5" w:rsidRDefault="00FA4DF5">
            <w:pPr>
              <w:jc w:val="center"/>
              <w:rPr>
                <w:b/>
                <w:bCs/>
                <w:color w:val="70AD47"/>
                <w:sz w:val="22"/>
                <w:szCs w:val="22"/>
                <w:u w:val="single"/>
              </w:rPr>
            </w:pPr>
            <w:r>
              <w:rPr>
                <w:b/>
                <w:bCs/>
                <w:color w:val="70AD47"/>
                <w:sz w:val="22"/>
                <w:szCs w:val="22"/>
                <w:u w:val="single"/>
              </w:rPr>
              <w:t> </w:t>
            </w:r>
          </w:p>
        </w:tc>
      </w:tr>
      <w:tr w:rsidR="00FA4DF5" w14:paraId="0A31FDE2" w14:textId="77777777" w:rsidTr="00FA4DF5">
        <w:trPr>
          <w:trHeight w:val="270"/>
        </w:trPr>
        <w:tc>
          <w:tcPr>
            <w:tcW w:w="3442" w:type="dxa"/>
            <w:gridSpan w:val="15"/>
            <w:tcBorders>
              <w:top w:val="nil"/>
              <w:left w:val="single" w:sz="8" w:space="0" w:color="auto"/>
              <w:bottom w:val="nil"/>
              <w:right w:val="nil"/>
            </w:tcBorders>
            <w:shd w:val="clear" w:color="auto" w:fill="auto"/>
            <w:noWrap/>
            <w:vAlign w:val="center"/>
            <w:hideMark/>
          </w:tcPr>
          <w:p w14:paraId="4C02F458" w14:textId="77777777" w:rsidR="00FA4DF5" w:rsidRDefault="00FA4DF5">
            <w:pPr>
              <w:jc w:val="right"/>
              <w:rPr>
                <w:color w:val="000000"/>
                <w:sz w:val="20"/>
                <w:szCs w:val="20"/>
              </w:rPr>
            </w:pPr>
            <w:r>
              <w:rPr>
                <w:color w:val="000000"/>
                <w:sz w:val="20"/>
                <w:szCs w:val="20"/>
              </w:rPr>
              <w:t>Budova, která je kulturní památkou:</w:t>
            </w:r>
          </w:p>
        </w:tc>
        <w:tc>
          <w:tcPr>
            <w:tcW w:w="1811" w:type="dxa"/>
            <w:gridSpan w:val="3"/>
            <w:tcBorders>
              <w:top w:val="nil"/>
              <w:left w:val="nil"/>
              <w:bottom w:val="nil"/>
              <w:right w:val="nil"/>
            </w:tcBorders>
            <w:shd w:val="clear" w:color="000000" w:fill="D9D9D9"/>
            <w:noWrap/>
            <w:vAlign w:val="center"/>
            <w:hideMark/>
          </w:tcPr>
          <w:p w14:paraId="2864A3EB" w14:textId="77777777" w:rsidR="00FA4DF5" w:rsidRDefault="00FA4DF5">
            <w:pPr>
              <w:jc w:val="center"/>
              <w:rPr>
                <w:color w:val="000000"/>
                <w:sz w:val="20"/>
                <w:szCs w:val="20"/>
              </w:rPr>
            </w:pPr>
            <w:r>
              <w:rPr>
                <w:color w:val="000000"/>
                <w:sz w:val="20"/>
                <w:szCs w:val="20"/>
              </w:rPr>
              <w:t>NE</w:t>
            </w:r>
          </w:p>
        </w:tc>
        <w:tc>
          <w:tcPr>
            <w:tcW w:w="370" w:type="dxa"/>
            <w:tcBorders>
              <w:top w:val="nil"/>
              <w:left w:val="nil"/>
              <w:bottom w:val="nil"/>
              <w:right w:val="nil"/>
            </w:tcBorders>
            <w:shd w:val="clear" w:color="auto" w:fill="auto"/>
            <w:noWrap/>
            <w:vAlign w:val="center"/>
            <w:hideMark/>
          </w:tcPr>
          <w:p w14:paraId="37F140F1" w14:textId="77777777" w:rsidR="00FA4DF5" w:rsidRDefault="00FA4DF5">
            <w:pPr>
              <w:jc w:val="center"/>
              <w:rPr>
                <w:color w:val="000000"/>
                <w:sz w:val="20"/>
                <w:szCs w:val="20"/>
              </w:rPr>
            </w:pPr>
          </w:p>
        </w:tc>
        <w:tc>
          <w:tcPr>
            <w:tcW w:w="3783" w:type="dxa"/>
            <w:gridSpan w:val="10"/>
            <w:vMerge w:val="restart"/>
            <w:tcBorders>
              <w:top w:val="nil"/>
              <w:left w:val="nil"/>
              <w:bottom w:val="nil"/>
              <w:right w:val="single" w:sz="8" w:space="0" w:color="000000"/>
            </w:tcBorders>
            <w:shd w:val="clear" w:color="auto" w:fill="auto"/>
            <w:vAlign w:val="center"/>
            <w:hideMark/>
          </w:tcPr>
          <w:p w14:paraId="3D553DD6" w14:textId="77777777" w:rsidR="00FA4DF5" w:rsidRDefault="00FA4DF5">
            <w:pPr>
              <w:rPr>
                <w:sz w:val="20"/>
                <w:szCs w:val="20"/>
              </w:rPr>
            </w:pPr>
          </w:p>
        </w:tc>
      </w:tr>
      <w:tr w:rsidR="00FA4DF5" w14:paraId="36133E4C" w14:textId="77777777" w:rsidTr="00FA4DF5">
        <w:trPr>
          <w:trHeight w:val="270"/>
        </w:trPr>
        <w:tc>
          <w:tcPr>
            <w:tcW w:w="3442" w:type="dxa"/>
            <w:gridSpan w:val="15"/>
            <w:tcBorders>
              <w:top w:val="nil"/>
              <w:left w:val="single" w:sz="8" w:space="0" w:color="auto"/>
              <w:bottom w:val="nil"/>
              <w:right w:val="nil"/>
            </w:tcBorders>
            <w:shd w:val="clear" w:color="auto" w:fill="auto"/>
            <w:noWrap/>
            <w:vAlign w:val="center"/>
            <w:hideMark/>
          </w:tcPr>
          <w:p w14:paraId="3AE570FD" w14:textId="77777777" w:rsidR="00FA4DF5" w:rsidRDefault="00FA4DF5">
            <w:pPr>
              <w:jc w:val="right"/>
              <w:rPr>
                <w:color w:val="000000"/>
                <w:sz w:val="20"/>
                <w:szCs w:val="20"/>
              </w:rPr>
            </w:pPr>
            <w:r>
              <w:rPr>
                <w:color w:val="000000"/>
                <w:sz w:val="20"/>
                <w:szCs w:val="20"/>
              </w:rPr>
              <w:t>Stavba určena výhradně k bydlení:</w:t>
            </w:r>
          </w:p>
        </w:tc>
        <w:tc>
          <w:tcPr>
            <w:tcW w:w="1811" w:type="dxa"/>
            <w:gridSpan w:val="3"/>
            <w:tcBorders>
              <w:top w:val="nil"/>
              <w:left w:val="nil"/>
              <w:bottom w:val="nil"/>
              <w:right w:val="nil"/>
            </w:tcBorders>
            <w:shd w:val="clear" w:color="000000" w:fill="D9D9D9"/>
            <w:noWrap/>
            <w:vAlign w:val="center"/>
            <w:hideMark/>
          </w:tcPr>
          <w:p w14:paraId="0F2C61FF" w14:textId="77777777" w:rsidR="00FA4DF5" w:rsidRDefault="00FA4DF5">
            <w:pPr>
              <w:jc w:val="center"/>
              <w:rPr>
                <w:color w:val="000000"/>
                <w:sz w:val="20"/>
                <w:szCs w:val="20"/>
              </w:rPr>
            </w:pPr>
            <w:r>
              <w:rPr>
                <w:color w:val="000000"/>
                <w:sz w:val="20"/>
                <w:szCs w:val="20"/>
              </w:rPr>
              <w:t>NE</w:t>
            </w:r>
          </w:p>
        </w:tc>
        <w:tc>
          <w:tcPr>
            <w:tcW w:w="370" w:type="dxa"/>
            <w:tcBorders>
              <w:top w:val="nil"/>
              <w:left w:val="nil"/>
              <w:bottom w:val="nil"/>
              <w:right w:val="nil"/>
            </w:tcBorders>
            <w:shd w:val="clear" w:color="auto" w:fill="auto"/>
            <w:noWrap/>
            <w:vAlign w:val="center"/>
            <w:hideMark/>
          </w:tcPr>
          <w:p w14:paraId="34B81D13" w14:textId="77777777" w:rsidR="00FA4DF5" w:rsidRDefault="00FA4DF5">
            <w:pPr>
              <w:jc w:val="center"/>
              <w:rPr>
                <w:color w:val="000000"/>
                <w:sz w:val="20"/>
                <w:szCs w:val="20"/>
              </w:rPr>
            </w:pPr>
          </w:p>
        </w:tc>
        <w:tc>
          <w:tcPr>
            <w:tcW w:w="3783" w:type="dxa"/>
            <w:gridSpan w:val="10"/>
            <w:vMerge/>
            <w:tcBorders>
              <w:top w:val="nil"/>
              <w:left w:val="nil"/>
              <w:bottom w:val="nil"/>
              <w:right w:val="nil"/>
            </w:tcBorders>
            <w:vAlign w:val="center"/>
            <w:hideMark/>
          </w:tcPr>
          <w:p w14:paraId="1640268A" w14:textId="77777777" w:rsidR="00FA4DF5" w:rsidRDefault="00FA4DF5">
            <w:pPr>
              <w:rPr>
                <w:sz w:val="20"/>
                <w:szCs w:val="20"/>
              </w:rPr>
            </w:pPr>
          </w:p>
        </w:tc>
      </w:tr>
      <w:tr w:rsidR="00FA4DF5" w14:paraId="6A68D229" w14:textId="77777777" w:rsidTr="00FA4DF5">
        <w:trPr>
          <w:trHeight w:val="270"/>
        </w:trPr>
        <w:tc>
          <w:tcPr>
            <w:tcW w:w="3442" w:type="dxa"/>
            <w:gridSpan w:val="15"/>
            <w:tcBorders>
              <w:top w:val="nil"/>
              <w:left w:val="single" w:sz="8" w:space="0" w:color="auto"/>
              <w:bottom w:val="nil"/>
              <w:right w:val="nil"/>
            </w:tcBorders>
            <w:shd w:val="clear" w:color="auto" w:fill="auto"/>
            <w:noWrap/>
            <w:vAlign w:val="center"/>
            <w:hideMark/>
          </w:tcPr>
          <w:p w14:paraId="1B49AC00" w14:textId="77777777" w:rsidR="00FA4DF5" w:rsidRDefault="00FA4DF5">
            <w:pPr>
              <w:jc w:val="right"/>
              <w:rPr>
                <w:color w:val="000000"/>
                <w:sz w:val="20"/>
                <w:szCs w:val="20"/>
              </w:rPr>
            </w:pPr>
            <w:r>
              <w:rPr>
                <w:color w:val="000000"/>
                <w:sz w:val="20"/>
                <w:szCs w:val="20"/>
              </w:rPr>
              <w:t>Pobytové místnosti v podzemním podlaží:</w:t>
            </w:r>
          </w:p>
        </w:tc>
        <w:tc>
          <w:tcPr>
            <w:tcW w:w="1811" w:type="dxa"/>
            <w:gridSpan w:val="3"/>
            <w:tcBorders>
              <w:top w:val="nil"/>
              <w:left w:val="nil"/>
              <w:bottom w:val="nil"/>
              <w:right w:val="nil"/>
            </w:tcBorders>
            <w:shd w:val="clear" w:color="000000" w:fill="D9D9D9"/>
            <w:noWrap/>
            <w:vAlign w:val="center"/>
            <w:hideMark/>
          </w:tcPr>
          <w:p w14:paraId="74582CED" w14:textId="77777777" w:rsidR="00FA4DF5" w:rsidRDefault="00FA4DF5">
            <w:pPr>
              <w:jc w:val="center"/>
              <w:rPr>
                <w:color w:val="000000"/>
                <w:sz w:val="20"/>
                <w:szCs w:val="20"/>
              </w:rPr>
            </w:pPr>
            <w:r>
              <w:rPr>
                <w:color w:val="000000"/>
                <w:sz w:val="20"/>
                <w:szCs w:val="20"/>
              </w:rPr>
              <w:t>NE</w:t>
            </w:r>
          </w:p>
        </w:tc>
        <w:tc>
          <w:tcPr>
            <w:tcW w:w="370" w:type="dxa"/>
            <w:tcBorders>
              <w:top w:val="nil"/>
              <w:left w:val="nil"/>
              <w:bottom w:val="nil"/>
              <w:right w:val="nil"/>
            </w:tcBorders>
            <w:shd w:val="clear" w:color="auto" w:fill="auto"/>
            <w:noWrap/>
            <w:vAlign w:val="center"/>
            <w:hideMark/>
          </w:tcPr>
          <w:p w14:paraId="75C07163" w14:textId="77777777" w:rsidR="00FA4DF5" w:rsidRDefault="00FA4DF5">
            <w:pPr>
              <w:jc w:val="center"/>
              <w:rPr>
                <w:color w:val="000000"/>
                <w:sz w:val="20"/>
                <w:szCs w:val="20"/>
              </w:rPr>
            </w:pPr>
          </w:p>
        </w:tc>
        <w:tc>
          <w:tcPr>
            <w:tcW w:w="3783" w:type="dxa"/>
            <w:gridSpan w:val="10"/>
            <w:vMerge/>
            <w:tcBorders>
              <w:top w:val="nil"/>
              <w:left w:val="nil"/>
              <w:bottom w:val="nil"/>
              <w:right w:val="nil"/>
            </w:tcBorders>
            <w:vAlign w:val="center"/>
            <w:hideMark/>
          </w:tcPr>
          <w:p w14:paraId="72CAD561" w14:textId="77777777" w:rsidR="00FA4DF5" w:rsidRDefault="00FA4DF5">
            <w:pPr>
              <w:rPr>
                <w:sz w:val="20"/>
                <w:szCs w:val="20"/>
              </w:rPr>
            </w:pPr>
          </w:p>
        </w:tc>
      </w:tr>
      <w:tr w:rsidR="00FA4DF5" w14:paraId="41A50C9E" w14:textId="77777777" w:rsidTr="00FA4DF5">
        <w:trPr>
          <w:trHeight w:val="270"/>
        </w:trPr>
        <w:tc>
          <w:tcPr>
            <w:tcW w:w="3442" w:type="dxa"/>
            <w:gridSpan w:val="15"/>
            <w:tcBorders>
              <w:top w:val="nil"/>
              <w:left w:val="single" w:sz="8" w:space="0" w:color="auto"/>
              <w:bottom w:val="nil"/>
              <w:right w:val="nil"/>
            </w:tcBorders>
            <w:shd w:val="clear" w:color="auto" w:fill="auto"/>
            <w:noWrap/>
            <w:vAlign w:val="center"/>
            <w:hideMark/>
          </w:tcPr>
          <w:p w14:paraId="52536CB3" w14:textId="77777777" w:rsidR="00FA4DF5" w:rsidRDefault="00FA4DF5">
            <w:pPr>
              <w:jc w:val="right"/>
              <w:rPr>
                <w:color w:val="000000"/>
                <w:sz w:val="20"/>
                <w:szCs w:val="20"/>
              </w:rPr>
            </w:pPr>
            <w:r>
              <w:rPr>
                <w:color w:val="000000"/>
                <w:sz w:val="20"/>
                <w:szCs w:val="20"/>
              </w:rPr>
              <w:t>Hořlavé kapaliny ve stavbě:</w:t>
            </w:r>
          </w:p>
        </w:tc>
        <w:tc>
          <w:tcPr>
            <w:tcW w:w="1811" w:type="dxa"/>
            <w:gridSpan w:val="3"/>
            <w:tcBorders>
              <w:top w:val="nil"/>
              <w:left w:val="nil"/>
              <w:bottom w:val="nil"/>
              <w:right w:val="nil"/>
            </w:tcBorders>
            <w:shd w:val="clear" w:color="000000" w:fill="D9D9D9"/>
            <w:noWrap/>
            <w:vAlign w:val="center"/>
            <w:hideMark/>
          </w:tcPr>
          <w:p w14:paraId="657DE7E4" w14:textId="77777777" w:rsidR="00FA4DF5" w:rsidRDefault="00FA4DF5">
            <w:pPr>
              <w:jc w:val="center"/>
              <w:rPr>
                <w:color w:val="000000"/>
                <w:sz w:val="20"/>
                <w:szCs w:val="20"/>
              </w:rPr>
            </w:pPr>
            <w:r>
              <w:rPr>
                <w:color w:val="000000"/>
                <w:sz w:val="20"/>
                <w:szCs w:val="20"/>
              </w:rPr>
              <w:t>NE</w:t>
            </w:r>
          </w:p>
        </w:tc>
        <w:tc>
          <w:tcPr>
            <w:tcW w:w="1484" w:type="dxa"/>
            <w:gridSpan w:val="4"/>
            <w:tcBorders>
              <w:top w:val="nil"/>
              <w:left w:val="nil"/>
              <w:bottom w:val="nil"/>
              <w:right w:val="nil"/>
            </w:tcBorders>
            <w:shd w:val="clear" w:color="auto" w:fill="auto"/>
            <w:noWrap/>
            <w:vAlign w:val="center"/>
            <w:hideMark/>
          </w:tcPr>
          <w:p w14:paraId="2A360001" w14:textId="77777777" w:rsidR="00FA4DF5" w:rsidRDefault="00FA4DF5">
            <w:pPr>
              <w:jc w:val="right"/>
              <w:rPr>
                <w:color w:val="000000"/>
                <w:sz w:val="20"/>
                <w:szCs w:val="20"/>
              </w:rPr>
            </w:pPr>
            <w:r>
              <w:rPr>
                <w:color w:val="000000"/>
                <w:sz w:val="20"/>
                <w:szCs w:val="20"/>
              </w:rPr>
              <w:t>Množství:</w:t>
            </w:r>
          </w:p>
        </w:tc>
        <w:tc>
          <w:tcPr>
            <w:tcW w:w="1480" w:type="dxa"/>
            <w:gridSpan w:val="4"/>
            <w:tcBorders>
              <w:top w:val="nil"/>
              <w:left w:val="nil"/>
              <w:bottom w:val="nil"/>
              <w:right w:val="nil"/>
            </w:tcBorders>
            <w:shd w:val="clear" w:color="000000" w:fill="D9D9D9"/>
            <w:noWrap/>
            <w:vAlign w:val="center"/>
            <w:hideMark/>
          </w:tcPr>
          <w:p w14:paraId="74AAE899" w14:textId="77777777" w:rsidR="00FA4DF5" w:rsidRDefault="00FA4DF5">
            <w:pPr>
              <w:rPr>
                <w:color w:val="000000"/>
                <w:sz w:val="20"/>
                <w:szCs w:val="20"/>
              </w:rPr>
            </w:pPr>
            <w:r>
              <w:rPr>
                <w:color w:val="000000"/>
                <w:sz w:val="20"/>
                <w:szCs w:val="20"/>
              </w:rPr>
              <w:t> </w:t>
            </w:r>
          </w:p>
        </w:tc>
        <w:tc>
          <w:tcPr>
            <w:tcW w:w="742" w:type="dxa"/>
            <w:gridSpan w:val="2"/>
            <w:tcBorders>
              <w:top w:val="nil"/>
              <w:left w:val="nil"/>
              <w:bottom w:val="nil"/>
              <w:right w:val="nil"/>
            </w:tcBorders>
            <w:shd w:val="clear" w:color="auto" w:fill="auto"/>
            <w:noWrap/>
            <w:vAlign w:val="bottom"/>
            <w:hideMark/>
          </w:tcPr>
          <w:p w14:paraId="5BAA254C" w14:textId="77777777" w:rsidR="00FA4DF5" w:rsidRDefault="00FA4DF5">
            <w:pPr>
              <w:rPr>
                <w:color w:val="000000"/>
                <w:sz w:val="20"/>
                <w:szCs w:val="20"/>
              </w:rPr>
            </w:pPr>
            <w:r>
              <w:rPr>
                <w:color w:val="000000"/>
                <w:sz w:val="20"/>
                <w:szCs w:val="20"/>
              </w:rPr>
              <w:t>m</w:t>
            </w:r>
            <w:r>
              <w:rPr>
                <w:color w:val="000000"/>
                <w:sz w:val="20"/>
                <w:szCs w:val="20"/>
                <w:vertAlign w:val="superscript"/>
              </w:rPr>
              <w:t>3</w:t>
            </w:r>
          </w:p>
        </w:tc>
        <w:tc>
          <w:tcPr>
            <w:tcW w:w="447" w:type="dxa"/>
            <w:tcBorders>
              <w:top w:val="nil"/>
              <w:left w:val="nil"/>
              <w:bottom w:val="nil"/>
              <w:right w:val="single" w:sz="8" w:space="0" w:color="auto"/>
            </w:tcBorders>
            <w:shd w:val="clear" w:color="auto" w:fill="auto"/>
            <w:noWrap/>
            <w:vAlign w:val="center"/>
            <w:hideMark/>
          </w:tcPr>
          <w:p w14:paraId="2965CE38" w14:textId="77777777" w:rsidR="00FA4DF5" w:rsidRDefault="00FA4DF5">
            <w:pPr>
              <w:jc w:val="center"/>
              <w:rPr>
                <w:b/>
                <w:bCs/>
                <w:color w:val="FF0000"/>
                <w:sz w:val="20"/>
                <w:szCs w:val="20"/>
              </w:rPr>
            </w:pPr>
            <w:r>
              <w:rPr>
                <w:b/>
                <w:bCs/>
                <w:color w:val="FF0000"/>
                <w:sz w:val="20"/>
                <w:szCs w:val="20"/>
              </w:rPr>
              <w:t> </w:t>
            </w:r>
          </w:p>
        </w:tc>
      </w:tr>
      <w:tr w:rsidR="00FA4DF5" w14:paraId="2F061D07" w14:textId="77777777" w:rsidTr="00FA4DF5">
        <w:trPr>
          <w:trHeight w:val="270"/>
        </w:trPr>
        <w:tc>
          <w:tcPr>
            <w:tcW w:w="3442" w:type="dxa"/>
            <w:gridSpan w:val="15"/>
            <w:tcBorders>
              <w:top w:val="nil"/>
              <w:left w:val="single" w:sz="8" w:space="0" w:color="auto"/>
              <w:bottom w:val="nil"/>
              <w:right w:val="nil"/>
            </w:tcBorders>
            <w:shd w:val="clear" w:color="auto" w:fill="auto"/>
            <w:noWrap/>
            <w:vAlign w:val="center"/>
            <w:hideMark/>
          </w:tcPr>
          <w:p w14:paraId="73E1CDCE" w14:textId="77777777" w:rsidR="00FA4DF5" w:rsidRDefault="00FA4DF5">
            <w:pPr>
              <w:jc w:val="right"/>
              <w:rPr>
                <w:color w:val="000000"/>
                <w:sz w:val="20"/>
                <w:szCs w:val="20"/>
              </w:rPr>
            </w:pPr>
            <w:r>
              <w:rPr>
                <w:color w:val="000000"/>
                <w:sz w:val="20"/>
                <w:szCs w:val="20"/>
              </w:rPr>
              <w:t>Hořlavé nebo hoření podporující plyny:</w:t>
            </w:r>
          </w:p>
        </w:tc>
        <w:tc>
          <w:tcPr>
            <w:tcW w:w="1811" w:type="dxa"/>
            <w:gridSpan w:val="3"/>
            <w:tcBorders>
              <w:top w:val="nil"/>
              <w:left w:val="nil"/>
              <w:bottom w:val="nil"/>
              <w:right w:val="nil"/>
            </w:tcBorders>
            <w:shd w:val="clear" w:color="000000" w:fill="D9D9D9"/>
            <w:noWrap/>
            <w:vAlign w:val="center"/>
            <w:hideMark/>
          </w:tcPr>
          <w:p w14:paraId="38A151D2" w14:textId="77777777" w:rsidR="00FA4DF5" w:rsidRDefault="00FA4DF5">
            <w:pPr>
              <w:jc w:val="center"/>
              <w:rPr>
                <w:color w:val="000000"/>
                <w:sz w:val="20"/>
                <w:szCs w:val="20"/>
              </w:rPr>
            </w:pPr>
            <w:r>
              <w:rPr>
                <w:color w:val="000000"/>
                <w:sz w:val="20"/>
                <w:szCs w:val="20"/>
              </w:rPr>
              <w:t>NE</w:t>
            </w:r>
          </w:p>
        </w:tc>
        <w:tc>
          <w:tcPr>
            <w:tcW w:w="1484" w:type="dxa"/>
            <w:gridSpan w:val="4"/>
            <w:tcBorders>
              <w:top w:val="nil"/>
              <w:left w:val="nil"/>
              <w:bottom w:val="nil"/>
              <w:right w:val="nil"/>
            </w:tcBorders>
            <w:shd w:val="clear" w:color="auto" w:fill="auto"/>
            <w:noWrap/>
            <w:vAlign w:val="center"/>
            <w:hideMark/>
          </w:tcPr>
          <w:p w14:paraId="1FCCB40A" w14:textId="77777777" w:rsidR="00FA4DF5" w:rsidRDefault="00FA4DF5">
            <w:pPr>
              <w:jc w:val="right"/>
              <w:rPr>
                <w:color w:val="000000"/>
                <w:sz w:val="20"/>
                <w:szCs w:val="20"/>
              </w:rPr>
            </w:pPr>
            <w:r>
              <w:rPr>
                <w:color w:val="000000"/>
                <w:sz w:val="20"/>
                <w:szCs w:val="20"/>
              </w:rPr>
              <w:t>Objem:</w:t>
            </w:r>
          </w:p>
        </w:tc>
        <w:tc>
          <w:tcPr>
            <w:tcW w:w="1480" w:type="dxa"/>
            <w:gridSpan w:val="4"/>
            <w:tcBorders>
              <w:top w:val="nil"/>
              <w:left w:val="nil"/>
              <w:bottom w:val="nil"/>
              <w:right w:val="nil"/>
            </w:tcBorders>
            <w:shd w:val="clear" w:color="000000" w:fill="D9D9D9"/>
            <w:noWrap/>
            <w:vAlign w:val="center"/>
            <w:hideMark/>
          </w:tcPr>
          <w:p w14:paraId="0B23B9CE" w14:textId="77777777" w:rsidR="00FA4DF5" w:rsidRDefault="00FA4DF5">
            <w:pPr>
              <w:rPr>
                <w:color w:val="000000"/>
                <w:sz w:val="20"/>
                <w:szCs w:val="20"/>
              </w:rPr>
            </w:pPr>
            <w:r>
              <w:rPr>
                <w:color w:val="000000"/>
                <w:sz w:val="20"/>
                <w:szCs w:val="20"/>
              </w:rPr>
              <w:t> </w:t>
            </w:r>
          </w:p>
        </w:tc>
        <w:tc>
          <w:tcPr>
            <w:tcW w:w="742" w:type="dxa"/>
            <w:gridSpan w:val="2"/>
            <w:tcBorders>
              <w:top w:val="nil"/>
              <w:left w:val="nil"/>
              <w:bottom w:val="nil"/>
              <w:right w:val="nil"/>
            </w:tcBorders>
            <w:shd w:val="clear" w:color="auto" w:fill="auto"/>
            <w:noWrap/>
            <w:vAlign w:val="center"/>
            <w:hideMark/>
          </w:tcPr>
          <w:p w14:paraId="749BC2F7" w14:textId="77777777" w:rsidR="00FA4DF5" w:rsidRDefault="00FA4DF5">
            <w:pPr>
              <w:rPr>
                <w:color w:val="000000"/>
                <w:sz w:val="20"/>
                <w:szCs w:val="20"/>
              </w:rPr>
            </w:pPr>
            <w:r>
              <w:rPr>
                <w:color w:val="000000"/>
                <w:sz w:val="20"/>
                <w:szCs w:val="20"/>
              </w:rPr>
              <w:t>l</w:t>
            </w:r>
          </w:p>
        </w:tc>
        <w:tc>
          <w:tcPr>
            <w:tcW w:w="447" w:type="dxa"/>
            <w:tcBorders>
              <w:top w:val="nil"/>
              <w:left w:val="nil"/>
              <w:bottom w:val="nil"/>
              <w:right w:val="single" w:sz="8" w:space="0" w:color="auto"/>
            </w:tcBorders>
            <w:shd w:val="clear" w:color="auto" w:fill="auto"/>
            <w:noWrap/>
            <w:vAlign w:val="center"/>
            <w:hideMark/>
          </w:tcPr>
          <w:p w14:paraId="1693613D" w14:textId="77777777" w:rsidR="00FA4DF5" w:rsidRDefault="00FA4DF5">
            <w:pPr>
              <w:jc w:val="center"/>
              <w:rPr>
                <w:b/>
                <w:bCs/>
                <w:color w:val="FF0000"/>
                <w:sz w:val="20"/>
                <w:szCs w:val="20"/>
              </w:rPr>
            </w:pPr>
            <w:r>
              <w:rPr>
                <w:b/>
                <w:bCs/>
                <w:color w:val="FF0000"/>
                <w:sz w:val="20"/>
                <w:szCs w:val="20"/>
              </w:rPr>
              <w:t> </w:t>
            </w:r>
          </w:p>
        </w:tc>
      </w:tr>
      <w:tr w:rsidR="00FA4DF5" w14:paraId="00F7FC44" w14:textId="77777777" w:rsidTr="00FA4DF5">
        <w:trPr>
          <w:trHeight w:val="270"/>
        </w:trPr>
        <w:tc>
          <w:tcPr>
            <w:tcW w:w="3442" w:type="dxa"/>
            <w:gridSpan w:val="15"/>
            <w:tcBorders>
              <w:top w:val="nil"/>
              <w:left w:val="single" w:sz="8" w:space="0" w:color="auto"/>
              <w:bottom w:val="nil"/>
              <w:right w:val="nil"/>
            </w:tcBorders>
            <w:shd w:val="clear" w:color="auto" w:fill="auto"/>
            <w:noWrap/>
            <w:vAlign w:val="center"/>
            <w:hideMark/>
          </w:tcPr>
          <w:p w14:paraId="18947468" w14:textId="77777777" w:rsidR="00FA4DF5" w:rsidRDefault="00FA4DF5">
            <w:pPr>
              <w:jc w:val="right"/>
              <w:rPr>
                <w:color w:val="000000"/>
                <w:sz w:val="20"/>
                <w:szCs w:val="20"/>
              </w:rPr>
            </w:pPr>
            <w:r>
              <w:rPr>
                <w:color w:val="000000"/>
                <w:sz w:val="20"/>
                <w:szCs w:val="20"/>
              </w:rPr>
              <w:t>Stavba, ve které se skladují pyrotechnické výrobky:</w:t>
            </w:r>
          </w:p>
        </w:tc>
        <w:tc>
          <w:tcPr>
            <w:tcW w:w="1811" w:type="dxa"/>
            <w:gridSpan w:val="3"/>
            <w:tcBorders>
              <w:top w:val="nil"/>
              <w:left w:val="nil"/>
              <w:bottom w:val="nil"/>
              <w:right w:val="nil"/>
            </w:tcBorders>
            <w:shd w:val="clear" w:color="000000" w:fill="D9D9D9"/>
            <w:noWrap/>
            <w:vAlign w:val="center"/>
            <w:hideMark/>
          </w:tcPr>
          <w:p w14:paraId="12426B9D" w14:textId="77777777" w:rsidR="00FA4DF5" w:rsidRDefault="00FA4DF5">
            <w:pPr>
              <w:jc w:val="center"/>
              <w:rPr>
                <w:color w:val="000000"/>
                <w:sz w:val="20"/>
                <w:szCs w:val="20"/>
              </w:rPr>
            </w:pPr>
            <w:r>
              <w:rPr>
                <w:color w:val="000000"/>
                <w:sz w:val="20"/>
                <w:szCs w:val="20"/>
              </w:rPr>
              <w:t>NE</w:t>
            </w:r>
          </w:p>
        </w:tc>
        <w:tc>
          <w:tcPr>
            <w:tcW w:w="370" w:type="dxa"/>
            <w:tcBorders>
              <w:top w:val="nil"/>
              <w:left w:val="nil"/>
              <w:bottom w:val="nil"/>
              <w:right w:val="nil"/>
            </w:tcBorders>
            <w:shd w:val="clear" w:color="auto" w:fill="auto"/>
            <w:noWrap/>
            <w:vAlign w:val="center"/>
            <w:hideMark/>
          </w:tcPr>
          <w:p w14:paraId="1927117F" w14:textId="77777777" w:rsidR="00FA4DF5" w:rsidRDefault="00FA4DF5">
            <w:pPr>
              <w:jc w:val="center"/>
              <w:rPr>
                <w:color w:val="000000"/>
                <w:sz w:val="20"/>
                <w:szCs w:val="20"/>
              </w:rPr>
            </w:pPr>
          </w:p>
        </w:tc>
        <w:tc>
          <w:tcPr>
            <w:tcW w:w="372" w:type="dxa"/>
            <w:tcBorders>
              <w:top w:val="nil"/>
              <w:left w:val="nil"/>
              <w:bottom w:val="nil"/>
              <w:right w:val="nil"/>
            </w:tcBorders>
            <w:shd w:val="clear" w:color="auto" w:fill="auto"/>
            <w:noWrap/>
            <w:vAlign w:val="center"/>
            <w:hideMark/>
          </w:tcPr>
          <w:p w14:paraId="0AD6F61A"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73AC096D"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29F28D77"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5929D33D"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3499B02A"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07080F68"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5B43BB95"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508022D0"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5EC45DAD" w14:textId="77777777" w:rsidR="00FA4DF5" w:rsidRDefault="00FA4DF5">
            <w:pPr>
              <w:rPr>
                <w:sz w:val="20"/>
                <w:szCs w:val="20"/>
              </w:rPr>
            </w:pPr>
          </w:p>
        </w:tc>
        <w:tc>
          <w:tcPr>
            <w:tcW w:w="447" w:type="dxa"/>
            <w:tcBorders>
              <w:top w:val="nil"/>
              <w:left w:val="nil"/>
              <w:bottom w:val="nil"/>
              <w:right w:val="single" w:sz="8" w:space="0" w:color="auto"/>
            </w:tcBorders>
            <w:shd w:val="clear" w:color="auto" w:fill="auto"/>
            <w:noWrap/>
            <w:vAlign w:val="center"/>
            <w:hideMark/>
          </w:tcPr>
          <w:p w14:paraId="2E4AA711" w14:textId="77777777" w:rsidR="00FA4DF5" w:rsidRDefault="00FA4DF5">
            <w:pPr>
              <w:jc w:val="center"/>
              <w:rPr>
                <w:b/>
                <w:bCs/>
                <w:color w:val="FF0000"/>
                <w:sz w:val="20"/>
                <w:szCs w:val="20"/>
              </w:rPr>
            </w:pPr>
            <w:r>
              <w:rPr>
                <w:b/>
                <w:bCs/>
                <w:color w:val="FF0000"/>
                <w:sz w:val="20"/>
                <w:szCs w:val="20"/>
              </w:rPr>
              <w:t> </w:t>
            </w:r>
          </w:p>
        </w:tc>
      </w:tr>
      <w:tr w:rsidR="00FA4DF5" w14:paraId="5FB46A7D" w14:textId="77777777" w:rsidTr="00FA4DF5">
        <w:trPr>
          <w:trHeight w:val="270"/>
        </w:trPr>
        <w:tc>
          <w:tcPr>
            <w:tcW w:w="3442" w:type="dxa"/>
            <w:gridSpan w:val="15"/>
            <w:tcBorders>
              <w:top w:val="nil"/>
              <w:left w:val="single" w:sz="8" w:space="0" w:color="auto"/>
              <w:bottom w:val="nil"/>
              <w:right w:val="nil"/>
            </w:tcBorders>
            <w:shd w:val="clear" w:color="auto" w:fill="auto"/>
            <w:noWrap/>
            <w:vAlign w:val="center"/>
            <w:hideMark/>
          </w:tcPr>
          <w:p w14:paraId="44955BF3" w14:textId="77777777" w:rsidR="00FA4DF5" w:rsidRDefault="00FA4DF5">
            <w:pPr>
              <w:jc w:val="right"/>
              <w:rPr>
                <w:color w:val="000000"/>
                <w:sz w:val="20"/>
                <w:szCs w:val="20"/>
              </w:rPr>
            </w:pPr>
            <w:r>
              <w:rPr>
                <w:color w:val="000000"/>
                <w:sz w:val="20"/>
                <w:szCs w:val="20"/>
              </w:rPr>
              <w:t>Stavba, ve které se vyskytují látky s akutní toxicitou:</w:t>
            </w:r>
          </w:p>
        </w:tc>
        <w:tc>
          <w:tcPr>
            <w:tcW w:w="1811" w:type="dxa"/>
            <w:gridSpan w:val="3"/>
            <w:tcBorders>
              <w:top w:val="nil"/>
              <w:left w:val="nil"/>
              <w:bottom w:val="nil"/>
              <w:right w:val="nil"/>
            </w:tcBorders>
            <w:shd w:val="clear" w:color="000000" w:fill="D9D9D9"/>
            <w:noWrap/>
            <w:vAlign w:val="center"/>
            <w:hideMark/>
          </w:tcPr>
          <w:p w14:paraId="30F5494E" w14:textId="77777777" w:rsidR="00FA4DF5" w:rsidRDefault="00FA4DF5">
            <w:pPr>
              <w:jc w:val="center"/>
              <w:rPr>
                <w:color w:val="000000"/>
                <w:sz w:val="20"/>
                <w:szCs w:val="20"/>
              </w:rPr>
            </w:pPr>
            <w:r>
              <w:rPr>
                <w:color w:val="000000"/>
                <w:sz w:val="20"/>
                <w:szCs w:val="20"/>
              </w:rPr>
              <w:t>NE</w:t>
            </w:r>
          </w:p>
        </w:tc>
        <w:tc>
          <w:tcPr>
            <w:tcW w:w="1484" w:type="dxa"/>
            <w:gridSpan w:val="4"/>
            <w:tcBorders>
              <w:top w:val="nil"/>
              <w:left w:val="nil"/>
              <w:bottom w:val="nil"/>
              <w:right w:val="nil"/>
            </w:tcBorders>
            <w:shd w:val="clear" w:color="auto" w:fill="auto"/>
            <w:noWrap/>
            <w:vAlign w:val="center"/>
            <w:hideMark/>
          </w:tcPr>
          <w:p w14:paraId="4D09F3FA" w14:textId="77777777" w:rsidR="00FA4DF5" w:rsidRDefault="00FA4DF5">
            <w:pPr>
              <w:jc w:val="right"/>
              <w:rPr>
                <w:color w:val="000000"/>
                <w:sz w:val="20"/>
                <w:szCs w:val="20"/>
              </w:rPr>
            </w:pPr>
            <w:r>
              <w:rPr>
                <w:color w:val="000000"/>
                <w:sz w:val="20"/>
                <w:szCs w:val="20"/>
              </w:rPr>
              <w:t>Množství:</w:t>
            </w:r>
          </w:p>
        </w:tc>
        <w:tc>
          <w:tcPr>
            <w:tcW w:w="1480" w:type="dxa"/>
            <w:gridSpan w:val="4"/>
            <w:tcBorders>
              <w:top w:val="nil"/>
              <w:left w:val="nil"/>
              <w:bottom w:val="nil"/>
              <w:right w:val="nil"/>
            </w:tcBorders>
            <w:shd w:val="clear" w:color="000000" w:fill="D9D9D9"/>
            <w:noWrap/>
            <w:vAlign w:val="center"/>
            <w:hideMark/>
          </w:tcPr>
          <w:p w14:paraId="11E191F8" w14:textId="77777777" w:rsidR="00FA4DF5" w:rsidRDefault="00FA4DF5">
            <w:pPr>
              <w:rPr>
                <w:color w:val="000000"/>
                <w:sz w:val="20"/>
                <w:szCs w:val="20"/>
              </w:rPr>
            </w:pPr>
            <w:r>
              <w:rPr>
                <w:color w:val="000000"/>
                <w:sz w:val="20"/>
                <w:szCs w:val="20"/>
              </w:rPr>
              <w:t> </w:t>
            </w:r>
          </w:p>
        </w:tc>
        <w:tc>
          <w:tcPr>
            <w:tcW w:w="742" w:type="dxa"/>
            <w:gridSpan w:val="2"/>
            <w:tcBorders>
              <w:top w:val="nil"/>
              <w:left w:val="nil"/>
              <w:bottom w:val="nil"/>
              <w:right w:val="nil"/>
            </w:tcBorders>
            <w:shd w:val="clear" w:color="auto" w:fill="auto"/>
            <w:noWrap/>
            <w:vAlign w:val="center"/>
            <w:hideMark/>
          </w:tcPr>
          <w:p w14:paraId="15A989E6" w14:textId="77777777" w:rsidR="00FA4DF5" w:rsidRDefault="00FA4DF5">
            <w:pPr>
              <w:rPr>
                <w:color w:val="000000"/>
                <w:sz w:val="20"/>
                <w:szCs w:val="20"/>
              </w:rPr>
            </w:pPr>
            <w:r>
              <w:rPr>
                <w:color w:val="000000"/>
                <w:sz w:val="20"/>
                <w:szCs w:val="20"/>
              </w:rPr>
              <w:t>kg</w:t>
            </w:r>
          </w:p>
        </w:tc>
        <w:tc>
          <w:tcPr>
            <w:tcW w:w="447" w:type="dxa"/>
            <w:tcBorders>
              <w:top w:val="nil"/>
              <w:left w:val="nil"/>
              <w:bottom w:val="nil"/>
              <w:right w:val="single" w:sz="8" w:space="0" w:color="auto"/>
            </w:tcBorders>
            <w:shd w:val="clear" w:color="auto" w:fill="auto"/>
            <w:noWrap/>
            <w:vAlign w:val="center"/>
            <w:hideMark/>
          </w:tcPr>
          <w:p w14:paraId="241BF5E0" w14:textId="77777777" w:rsidR="00FA4DF5" w:rsidRDefault="00FA4DF5">
            <w:pPr>
              <w:jc w:val="center"/>
              <w:rPr>
                <w:b/>
                <w:bCs/>
                <w:color w:val="FF0000"/>
                <w:sz w:val="20"/>
                <w:szCs w:val="20"/>
              </w:rPr>
            </w:pPr>
            <w:r>
              <w:rPr>
                <w:b/>
                <w:bCs/>
                <w:color w:val="FF0000"/>
                <w:sz w:val="20"/>
                <w:szCs w:val="20"/>
              </w:rPr>
              <w:t> </w:t>
            </w:r>
          </w:p>
        </w:tc>
      </w:tr>
      <w:tr w:rsidR="00FA4DF5" w14:paraId="16D773DE" w14:textId="77777777" w:rsidTr="00FA4DF5">
        <w:trPr>
          <w:trHeight w:val="270"/>
        </w:trPr>
        <w:tc>
          <w:tcPr>
            <w:tcW w:w="3442" w:type="dxa"/>
            <w:gridSpan w:val="15"/>
            <w:tcBorders>
              <w:top w:val="nil"/>
              <w:left w:val="single" w:sz="8" w:space="0" w:color="auto"/>
              <w:bottom w:val="nil"/>
              <w:right w:val="nil"/>
            </w:tcBorders>
            <w:shd w:val="clear" w:color="auto" w:fill="auto"/>
            <w:noWrap/>
            <w:vAlign w:val="center"/>
            <w:hideMark/>
          </w:tcPr>
          <w:p w14:paraId="27662EA1" w14:textId="77777777" w:rsidR="00FA4DF5" w:rsidRDefault="00FA4DF5">
            <w:pPr>
              <w:jc w:val="right"/>
              <w:rPr>
                <w:color w:val="000000"/>
                <w:sz w:val="20"/>
                <w:szCs w:val="20"/>
              </w:rPr>
            </w:pPr>
            <w:r>
              <w:rPr>
                <w:color w:val="000000"/>
                <w:sz w:val="20"/>
                <w:szCs w:val="20"/>
              </w:rPr>
              <w:t>Stavba, ve které se nachází stálý úkryt:</w:t>
            </w:r>
          </w:p>
        </w:tc>
        <w:tc>
          <w:tcPr>
            <w:tcW w:w="1811" w:type="dxa"/>
            <w:gridSpan w:val="3"/>
            <w:tcBorders>
              <w:top w:val="nil"/>
              <w:left w:val="nil"/>
              <w:bottom w:val="nil"/>
              <w:right w:val="nil"/>
            </w:tcBorders>
            <w:shd w:val="clear" w:color="000000" w:fill="D9D9D9"/>
            <w:noWrap/>
            <w:vAlign w:val="center"/>
            <w:hideMark/>
          </w:tcPr>
          <w:p w14:paraId="16179B93" w14:textId="77777777" w:rsidR="00FA4DF5" w:rsidRDefault="00FA4DF5">
            <w:pPr>
              <w:jc w:val="center"/>
              <w:rPr>
                <w:color w:val="000000"/>
                <w:sz w:val="20"/>
                <w:szCs w:val="20"/>
              </w:rPr>
            </w:pPr>
            <w:r>
              <w:rPr>
                <w:color w:val="000000"/>
                <w:sz w:val="20"/>
                <w:szCs w:val="20"/>
              </w:rPr>
              <w:t>NE</w:t>
            </w:r>
          </w:p>
        </w:tc>
        <w:tc>
          <w:tcPr>
            <w:tcW w:w="370" w:type="dxa"/>
            <w:tcBorders>
              <w:top w:val="nil"/>
              <w:left w:val="nil"/>
              <w:bottom w:val="nil"/>
              <w:right w:val="nil"/>
            </w:tcBorders>
            <w:shd w:val="clear" w:color="auto" w:fill="auto"/>
            <w:noWrap/>
            <w:vAlign w:val="center"/>
            <w:hideMark/>
          </w:tcPr>
          <w:p w14:paraId="22B81C03" w14:textId="77777777" w:rsidR="00FA4DF5" w:rsidRDefault="00FA4DF5">
            <w:pPr>
              <w:jc w:val="center"/>
              <w:rPr>
                <w:color w:val="000000"/>
                <w:sz w:val="20"/>
                <w:szCs w:val="20"/>
              </w:rPr>
            </w:pPr>
          </w:p>
        </w:tc>
        <w:tc>
          <w:tcPr>
            <w:tcW w:w="372" w:type="dxa"/>
            <w:tcBorders>
              <w:top w:val="nil"/>
              <w:left w:val="nil"/>
              <w:bottom w:val="nil"/>
              <w:right w:val="nil"/>
            </w:tcBorders>
            <w:shd w:val="clear" w:color="auto" w:fill="auto"/>
            <w:noWrap/>
            <w:vAlign w:val="center"/>
            <w:hideMark/>
          </w:tcPr>
          <w:p w14:paraId="0C176F1E"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7A0E8512"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1A140611"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0D397DD7"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719D5567"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3BE24861"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72FF83BB" w14:textId="77777777" w:rsidR="00FA4DF5" w:rsidRDefault="00FA4DF5">
            <w:pPr>
              <w:rPr>
                <w:sz w:val="20"/>
                <w:szCs w:val="20"/>
              </w:rPr>
            </w:pPr>
          </w:p>
        </w:tc>
        <w:tc>
          <w:tcPr>
            <w:tcW w:w="372" w:type="dxa"/>
            <w:tcBorders>
              <w:top w:val="nil"/>
              <w:left w:val="nil"/>
              <w:bottom w:val="nil"/>
              <w:right w:val="nil"/>
            </w:tcBorders>
            <w:shd w:val="clear" w:color="auto" w:fill="auto"/>
            <w:noWrap/>
            <w:vAlign w:val="center"/>
            <w:hideMark/>
          </w:tcPr>
          <w:p w14:paraId="4F6D9C9C" w14:textId="77777777" w:rsidR="00FA4DF5" w:rsidRDefault="00FA4DF5">
            <w:pPr>
              <w:rPr>
                <w:sz w:val="20"/>
                <w:szCs w:val="20"/>
              </w:rPr>
            </w:pPr>
          </w:p>
        </w:tc>
        <w:tc>
          <w:tcPr>
            <w:tcW w:w="370" w:type="dxa"/>
            <w:tcBorders>
              <w:top w:val="nil"/>
              <w:left w:val="nil"/>
              <w:bottom w:val="nil"/>
              <w:right w:val="nil"/>
            </w:tcBorders>
            <w:shd w:val="clear" w:color="auto" w:fill="auto"/>
            <w:noWrap/>
            <w:vAlign w:val="center"/>
            <w:hideMark/>
          </w:tcPr>
          <w:p w14:paraId="3B1DFA4B" w14:textId="77777777" w:rsidR="00FA4DF5" w:rsidRDefault="00FA4DF5">
            <w:pPr>
              <w:rPr>
                <w:sz w:val="20"/>
                <w:szCs w:val="20"/>
              </w:rPr>
            </w:pPr>
          </w:p>
        </w:tc>
        <w:tc>
          <w:tcPr>
            <w:tcW w:w="447" w:type="dxa"/>
            <w:tcBorders>
              <w:top w:val="nil"/>
              <w:left w:val="nil"/>
              <w:bottom w:val="nil"/>
              <w:right w:val="single" w:sz="8" w:space="0" w:color="auto"/>
            </w:tcBorders>
            <w:shd w:val="clear" w:color="auto" w:fill="auto"/>
            <w:noWrap/>
            <w:vAlign w:val="center"/>
            <w:hideMark/>
          </w:tcPr>
          <w:p w14:paraId="0817DF20" w14:textId="77777777" w:rsidR="00FA4DF5" w:rsidRDefault="00FA4DF5">
            <w:pPr>
              <w:jc w:val="center"/>
              <w:rPr>
                <w:b/>
                <w:bCs/>
                <w:color w:val="FF0000"/>
                <w:sz w:val="20"/>
                <w:szCs w:val="20"/>
              </w:rPr>
            </w:pPr>
            <w:r>
              <w:rPr>
                <w:b/>
                <w:bCs/>
                <w:color w:val="FF0000"/>
                <w:sz w:val="20"/>
                <w:szCs w:val="20"/>
              </w:rPr>
              <w:t> </w:t>
            </w:r>
          </w:p>
        </w:tc>
      </w:tr>
      <w:tr w:rsidR="00FA4DF5" w14:paraId="3C218826" w14:textId="77777777" w:rsidTr="00FA4DF5">
        <w:trPr>
          <w:trHeight w:val="255"/>
        </w:trPr>
        <w:tc>
          <w:tcPr>
            <w:tcW w:w="3442" w:type="dxa"/>
            <w:gridSpan w:val="15"/>
            <w:tcBorders>
              <w:top w:val="nil"/>
              <w:left w:val="single" w:sz="8" w:space="0" w:color="auto"/>
              <w:bottom w:val="nil"/>
              <w:right w:val="nil"/>
            </w:tcBorders>
            <w:shd w:val="clear" w:color="auto" w:fill="auto"/>
            <w:noWrap/>
            <w:vAlign w:val="center"/>
            <w:hideMark/>
          </w:tcPr>
          <w:p w14:paraId="6284C9B0" w14:textId="77777777" w:rsidR="00FA4DF5" w:rsidRDefault="00FA4DF5">
            <w:pPr>
              <w:jc w:val="right"/>
              <w:rPr>
                <w:color w:val="000000"/>
                <w:sz w:val="20"/>
                <w:szCs w:val="20"/>
              </w:rPr>
            </w:pPr>
            <w:r>
              <w:rPr>
                <w:color w:val="000000"/>
                <w:sz w:val="20"/>
                <w:szCs w:val="20"/>
              </w:rPr>
              <w:t>Sklad střeliva:</w:t>
            </w:r>
          </w:p>
        </w:tc>
        <w:tc>
          <w:tcPr>
            <w:tcW w:w="1811" w:type="dxa"/>
            <w:gridSpan w:val="3"/>
            <w:tcBorders>
              <w:top w:val="nil"/>
              <w:left w:val="nil"/>
              <w:bottom w:val="nil"/>
              <w:right w:val="nil"/>
            </w:tcBorders>
            <w:shd w:val="clear" w:color="000000" w:fill="D9D9D9"/>
            <w:noWrap/>
            <w:vAlign w:val="center"/>
            <w:hideMark/>
          </w:tcPr>
          <w:p w14:paraId="1B3A4E11" w14:textId="77777777" w:rsidR="00FA4DF5" w:rsidRDefault="00FA4DF5">
            <w:pPr>
              <w:jc w:val="center"/>
              <w:rPr>
                <w:color w:val="000000"/>
                <w:sz w:val="20"/>
                <w:szCs w:val="20"/>
              </w:rPr>
            </w:pPr>
            <w:r>
              <w:rPr>
                <w:color w:val="000000"/>
                <w:sz w:val="20"/>
                <w:szCs w:val="20"/>
              </w:rPr>
              <w:t>NE</w:t>
            </w:r>
          </w:p>
        </w:tc>
        <w:tc>
          <w:tcPr>
            <w:tcW w:w="1484" w:type="dxa"/>
            <w:gridSpan w:val="4"/>
            <w:tcBorders>
              <w:top w:val="nil"/>
              <w:left w:val="nil"/>
              <w:bottom w:val="nil"/>
              <w:right w:val="nil"/>
            </w:tcBorders>
            <w:shd w:val="clear" w:color="auto" w:fill="auto"/>
            <w:noWrap/>
            <w:vAlign w:val="center"/>
            <w:hideMark/>
          </w:tcPr>
          <w:p w14:paraId="26D18F96" w14:textId="77777777" w:rsidR="00FA4DF5" w:rsidRDefault="00FA4DF5">
            <w:pPr>
              <w:jc w:val="right"/>
              <w:rPr>
                <w:color w:val="000000"/>
                <w:sz w:val="20"/>
                <w:szCs w:val="20"/>
              </w:rPr>
            </w:pPr>
            <w:r>
              <w:rPr>
                <w:color w:val="000000"/>
                <w:sz w:val="20"/>
                <w:szCs w:val="20"/>
              </w:rPr>
              <w:t>Množství:</w:t>
            </w:r>
          </w:p>
        </w:tc>
        <w:tc>
          <w:tcPr>
            <w:tcW w:w="1480" w:type="dxa"/>
            <w:gridSpan w:val="4"/>
            <w:tcBorders>
              <w:top w:val="nil"/>
              <w:left w:val="nil"/>
              <w:bottom w:val="nil"/>
              <w:right w:val="nil"/>
            </w:tcBorders>
            <w:shd w:val="clear" w:color="000000" w:fill="D9D9D9"/>
            <w:noWrap/>
            <w:vAlign w:val="center"/>
            <w:hideMark/>
          </w:tcPr>
          <w:p w14:paraId="507E23D1" w14:textId="77777777" w:rsidR="00FA4DF5" w:rsidRDefault="00FA4DF5">
            <w:pPr>
              <w:rPr>
                <w:color w:val="000000"/>
                <w:sz w:val="20"/>
                <w:szCs w:val="20"/>
              </w:rPr>
            </w:pPr>
            <w:r>
              <w:rPr>
                <w:color w:val="000000"/>
                <w:sz w:val="20"/>
                <w:szCs w:val="20"/>
              </w:rPr>
              <w:t> </w:t>
            </w:r>
          </w:p>
        </w:tc>
        <w:tc>
          <w:tcPr>
            <w:tcW w:w="742" w:type="dxa"/>
            <w:gridSpan w:val="2"/>
            <w:tcBorders>
              <w:top w:val="nil"/>
              <w:left w:val="nil"/>
              <w:bottom w:val="nil"/>
              <w:right w:val="nil"/>
            </w:tcBorders>
            <w:shd w:val="clear" w:color="auto" w:fill="auto"/>
            <w:noWrap/>
            <w:vAlign w:val="center"/>
            <w:hideMark/>
          </w:tcPr>
          <w:p w14:paraId="1230D6DB" w14:textId="77777777" w:rsidR="00FA4DF5" w:rsidRDefault="00FA4DF5">
            <w:pPr>
              <w:rPr>
                <w:color w:val="000000"/>
                <w:sz w:val="20"/>
                <w:szCs w:val="20"/>
              </w:rPr>
            </w:pPr>
            <w:r>
              <w:rPr>
                <w:color w:val="000000"/>
                <w:sz w:val="20"/>
                <w:szCs w:val="20"/>
              </w:rPr>
              <w:t>ks</w:t>
            </w:r>
          </w:p>
        </w:tc>
        <w:tc>
          <w:tcPr>
            <w:tcW w:w="447" w:type="dxa"/>
            <w:tcBorders>
              <w:top w:val="nil"/>
              <w:left w:val="nil"/>
              <w:bottom w:val="nil"/>
              <w:right w:val="single" w:sz="8" w:space="0" w:color="auto"/>
            </w:tcBorders>
            <w:shd w:val="clear" w:color="auto" w:fill="auto"/>
            <w:noWrap/>
            <w:vAlign w:val="center"/>
            <w:hideMark/>
          </w:tcPr>
          <w:p w14:paraId="76AF3F6F" w14:textId="77777777" w:rsidR="00FA4DF5" w:rsidRDefault="00FA4DF5">
            <w:pPr>
              <w:jc w:val="center"/>
              <w:rPr>
                <w:b/>
                <w:bCs/>
                <w:color w:val="FF0000"/>
                <w:sz w:val="20"/>
                <w:szCs w:val="20"/>
              </w:rPr>
            </w:pPr>
            <w:r>
              <w:rPr>
                <w:b/>
                <w:bCs/>
                <w:color w:val="FF0000"/>
                <w:sz w:val="20"/>
                <w:szCs w:val="20"/>
              </w:rPr>
              <w:t> </w:t>
            </w:r>
          </w:p>
        </w:tc>
      </w:tr>
      <w:tr w:rsidR="00FA4DF5" w14:paraId="7193333A" w14:textId="77777777" w:rsidTr="00FA4DF5">
        <w:trPr>
          <w:trHeight w:val="270"/>
        </w:trPr>
        <w:tc>
          <w:tcPr>
            <w:tcW w:w="3442" w:type="dxa"/>
            <w:gridSpan w:val="15"/>
            <w:tcBorders>
              <w:top w:val="nil"/>
              <w:left w:val="single" w:sz="8" w:space="0" w:color="auto"/>
              <w:bottom w:val="single" w:sz="8" w:space="0" w:color="auto"/>
              <w:right w:val="nil"/>
            </w:tcBorders>
            <w:shd w:val="clear" w:color="auto" w:fill="auto"/>
            <w:noWrap/>
            <w:vAlign w:val="center"/>
            <w:hideMark/>
          </w:tcPr>
          <w:p w14:paraId="6D70F956" w14:textId="77777777" w:rsidR="00FA4DF5" w:rsidRDefault="00FA4DF5">
            <w:pPr>
              <w:jc w:val="right"/>
              <w:rPr>
                <w:color w:val="000000"/>
                <w:sz w:val="20"/>
                <w:szCs w:val="20"/>
              </w:rPr>
            </w:pPr>
            <w:r>
              <w:rPr>
                <w:color w:val="000000"/>
                <w:sz w:val="20"/>
                <w:szCs w:val="20"/>
              </w:rPr>
              <w:t>Stavba určená k nakládání s výbušninami:</w:t>
            </w:r>
          </w:p>
        </w:tc>
        <w:tc>
          <w:tcPr>
            <w:tcW w:w="1811" w:type="dxa"/>
            <w:gridSpan w:val="3"/>
            <w:tcBorders>
              <w:top w:val="nil"/>
              <w:left w:val="nil"/>
              <w:bottom w:val="single" w:sz="8" w:space="0" w:color="auto"/>
              <w:right w:val="nil"/>
            </w:tcBorders>
            <w:shd w:val="clear" w:color="000000" w:fill="D9D9D9"/>
            <w:noWrap/>
            <w:vAlign w:val="center"/>
            <w:hideMark/>
          </w:tcPr>
          <w:p w14:paraId="221A48C9" w14:textId="77777777" w:rsidR="00FA4DF5" w:rsidRDefault="00FA4DF5">
            <w:pPr>
              <w:jc w:val="center"/>
              <w:rPr>
                <w:color w:val="000000"/>
                <w:sz w:val="20"/>
                <w:szCs w:val="20"/>
              </w:rPr>
            </w:pPr>
            <w:r>
              <w:rPr>
                <w:color w:val="000000"/>
                <w:sz w:val="20"/>
                <w:szCs w:val="20"/>
              </w:rPr>
              <w:t>NE</w:t>
            </w:r>
          </w:p>
        </w:tc>
        <w:tc>
          <w:tcPr>
            <w:tcW w:w="370" w:type="dxa"/>
            <w:tcBorders>
              <w:top w:val="nil"/>
              <w:left w:val="nil"/>
              <w:bottom w:val="single" w:sz="8" w:space="0" w:color="auto"/>
              <w:right w:val="nil"/>
            </w:tcBorders>
            <w:shd w:val="clear" w:color="auto" w:fill="auto"/>
            <w:noWrap/>
            <w:vAlign w:val="center"/>
            <w:hideMark/>
          </w:tcPr>
          <w:p w14:paraId="65671A43" w14:textId="77777777" w:rsidR="00FA4DF5" w:rsidRDefault="00FA4DF5">
            <w:pPr>
              <w:rPr>
                <w:color w:val="000000"/>
                <w:sz w:val="20"/>
                <w:szCs w:val="20"/>
              </w:rPr>
            </w:pPr>
            <w:r>
              <w:rPr>
                <w:color w:val="000000"/>
                <w:sz w:val="20"/>
                <w:szCs w:val="20"/>
              </w:rPr>
              <w:t> </w:t>
            </w:r>
          </w:p>
        </w:tc>
        <w:tc>
          <w:tcPr>
            <w:tcW w:w="372" w:type="dxa"/>
            <w:tcBorders>
              <w:top w:val="nil"/>
              <w:left w:val="nil"/>
              <w:bottom w:val="single" w:sz="8" w:space="0" w:color="auto"/>
              <w:right w:val="nil"/>
            </w:tcBorders>
            <w:shd w:val="clear" w:color="auto" w:fill="auto"/>
            <w:noWrap/>
            <w:vAlign w:val="center"/>
            <w:hideMark/>
          </w:tcPr>
          <w:p w14:paraId="3F6774FA" w14:textId="77777777" w:rsidR="00FA4DF5" w:rsidRDefault="00FA4DF5">
            <w:pPr>
              <w:rPr>
                <w:color w:val="000000"/>
                <w:sz w:val="20"/>
                <w:szCs w:val="20"/>
              </w:rPr>
            </w:pPr>
            <w:r>
              <w:rPr>
                <w:color w:val="000000"/>
                <w:sz w:val="20"/>
                <w:szCs w:val="20"/>
              </w:rPr>
              <w:t> </w:t>
            </w:r>
          </w:p>
        </w:tc>
        <w:tc>
          <w:tcPr>
            <w:tcW w:w="370" w:type="dxa"/>
            <w:tcBorders>
              <w:top w:val="nil"/>
              <w:left w:val="nil"/>
              <w:bottom w:val="single" w:sz="8" w:space="0" w:color="auto"/>
              <w:right w:val="nil"/>
            </w:tcBorders>
            <w:shd w:val="clear" w:color="auto" w:fill="auto"/>
            <w:noWrap/>
            <w:vAlign w:val="center"/>
            <w:hideMark/>
          </w:tcPr>
          <w:p w14:paraId="7EFF5F3A" w14:textId="77777777" w:rsidR="00FA4DF5" w:rsidRDefault="00FA4DF5">
            <w:pPr>
              <w:rPr>
                <w:color w:val="000000"/>
                <w:sz w:val="20"/>
                <w:szCs w:val="20"/>
              </w:rPr>
            </w:pPr>
            <w:r>
              <w:rPr>
                <w:color w:val="000000"/>
                <w:sz w:val="20"/>
                <w:szCs w:val="20"/>
              </w:rPr>
              <w:t> </w:t>
            </w:r>
          </w:p>
        </w:tc>
        <w:tc>
          <w:tcPr>
            <w:tcW w:w="372" w:type="dxa"/>
            <w:tcBorders>
              <w:top w:val="nil"/>
              <w:left w:val="nil"/>
              <w:bottom w:val="single" w:sz="8" w:space="0" w:color="auto"/>
              <w:right w:val="nil"/>
            </w:tcBorders>
            <w:shd w:val="clear" w:color="auto" w:fill="auto"/>
            <w:noWrap/>
            <w:vAlign w:val="center"/>
            <w:hideMark/>
          </w:tcPr>
          <w:p w14:paraId="25F52E0E" w14:textId="77777777" w:rsidR="00FA4DF5" w:rsidRDefault="00FA4DF5">
            <w:pPr>
              <w:rPr>
                <w:color w:val="000000"/>
                <w:sz w:val="20"/>
                <w:szCs w:val="20"/>
              </w:rPr>
            </w:pPr>
            <w:r>
              <w:rPr>
                <w:color w:val="000000"/>
                <w:sz w:val="20"/>
                <w:szCs w:val="20"/>
              </w:rPr>
              <w:t> </w:t>
            </w:r>
          </w:p>
        </w:tc>
        <w:tc>
          <w:tcPr>
            <w:tcW w:w="370" w:type="dxa"/>
            <w:tcBorders>
              <w:top w:val="nil"/>
              <w:left w:val="nil"/>
              <w:bottom w:val="single" w:sz="8" w:space="0" w:color="auto"/>
              <w:right w:val="nil"/>
            </w:tcBorders>
            <w:shd w:val="clear" w:color="auto" w:fill="auto"/>
            <w:noWrap/>
            <w:vAlign w:val="center"/>
            <w:hideMark/>
          </w:tcPr>
          <w:p w14:paraId="49F49DD6" w14:textId="77777777" w:rsidR="00FA4DF5" w:rsidRDefault="00FA4DF5">
            <w:pPr>
              <w:rPr>
                <w:color w:val="000000"/>
                <w:sz w:val="20"/>
                <w:szCs w:val="20"/>
              </w:rPr>
            </w:pPr>
            <w:r>
              <w:rPr>
                <w:color w:val="000000"/>
                <w:sz w:val="20"/>
                <w:szCs w:val="20"/>
              </w:rPr>
              <w:t> </w:t>
            </w:r>
          </w:p>
        </w:tc>
        <w:tc>
          <w:tcPr>
            <w:tcW w:w="370" w:type="dxa"/>
            <w:tcBorders>
              <w:top w:val="nil"/>
              <w:left w:val="nil"/>
              <w:bottom w:val="single" w:sz="8" w:space="0" w:color="auto"/>
              <w:right w:val="nil"/>
            </w:tcBorders>
            <w:shd w:val="clear" w:color="auto" w:fill="auto"/>
            <w:noWrap/>
            <w:vAlign w:val="center"/>
            <w:hideMark/>
          </w:tcPr>
          <w:p w14:paraId="4857F0E9" w14:textId="77777777" w:rsidR="00FA4DF5" w:rsidRDefault="00FA4DF5">
            <w:pPr>
              <w:rPr>
                <w:color w:val="000000"/>
                <w:sz w:val="20"/>
                <w:szCs w:val="20"/>
              </w:rPr>
            </w:pPr>
            <w:r>
              <w:rPr>
                <w:color w:val="000000"/>
                <w:sz w:val="20"/>
                <w:szCs w:val="20"/>
              </w:rPr>
              <w:t> </w:t>
            </w:r>
          </w:p>
        </w:tc>
        <w:tc>
          <w:tcPr>
            <w:tcW w:w="370" w:type="dxa"/>
            <w:tcBorders>
              <w:top w:val="nil"/>
              <w:left w:val="nil"/>
              <w:bottom w:val="single" w:sz="8" w:space="0" w:color="auto"/>
              <w:right w:val="nil"/>
            </w:tcBorders>
            <w:shd w:val="clear" w:color="auto" w:fill="auto"/>
            <w:noWrap/>
            <w:vAlign w:val="center"/>
            <w:hideMark/>
          </w:tcPr>
          <w:p w14:paraId="70C1F023" w14:textId="77777777" w:rsidR="00FA4DF5" w:rsidRDefault="00FA4DF5">
            <w:pPr>
              <w:rPr>
                <w:color w:val="000000"/>
                <w:sz w:val="20"/>
                <w:szCs w:val="20"/>
              </w:rPr>
            </w:pPr>
            <w:r>
              <w:rPr>
                <w:color w:val="000000"/>
                <w:sz w:val="20"/>
                <w:szCs w:val="20"/>
              </w:rPr>
              <w:t> </w:t>
            </w:r>
          </w:p>
        </w:tc>
        <w:tc>
          <w:tcPr>
            <w:tcW w:w="370" w:type="dxa"/>
            <w:tcBorders>
              <w:top w:val="nil"/>
              <w:left w:val="nil"/>
              <w:bottom w:val="single" w:sz="8" w:space="0" w:color="auto"/>
              <w:right w:val="nil"/>
            </w:tcBorders>
            <w:shd w:val="clear" w:color="auto" w:fill="auto"/>
            <w:noWrap/>
            <w:vAlign w:val="center"/>
            <w:hideMark/>
          </w:tcPr>
          <w:p w14:paraId="5B265238" w14:textId="77777777" w:rsidR="00FA4DF5" w:rsidRDefault="00FA4DF5">
            <w:pPr>
              <w:rPr>
                <w:color w:val="000000"/>
                <w:sz w:val="20"/>
                <w:szCs w:val="20"/>
              </w:rPr>
            </w:pPr>
            <w:r>
              <w:rPr>
                <w:color w:val="000000"/>
                <w:sz w:val="20"/>
                <w:szCs w:val="20"/>
              </w:rPr>
              <w:t> </w:t>
            </w:r>
          </w:p>
        </w:tc>
        <w:tc>
          <w:tcPr>
            <w:tcW w:w="372" w:type="dxa"/>
            <w:tcBorders>
              <w:top w:val="nil"/>
              <w:left w:val="nil"/>
              <w:bottom w:val="single" w:sz="8" w:space="0" w:color="auto"/>
              <w:right w:val="nil"/>
            </w:tcBorders>
            <w:shd w:val="clear" w:color="auto" w:fill="auto"/>
            <w:noWrap/>
            <w:vAlign w:val="center"/>
            <w:hideMark/>
          </w:tcPr>
          <w:p w14:paraId="682D1093" w14:textId="77777777" w:rsidR="00FA4DF5" w:rsidRDefault="00FA4DF5">
            <w:pPr>
              <w:rPr>
                <w:color w:val="000000"/>
                <w:sz w:val="20"/>
                <w:szCs w:val="20"/>
              </w:rPr>
            </w:pPr>
            <w:r>
              <w:rPr>
                <w:color w:val="000000"/>
                <w:sz w:val="20"/>
                <w:szCs w:val="20"/>
              </w:rPr>
              <w:t> </w:t>
            </w:r>
          </w:p>
        </w:tc>
        <w:tc>
          <w:tcPr>
            <w:tcW w:w="370" w:type="dxa"/>
            <w:tcBorders>
              <w:top w:val="nil"/>
              <w:left w:val="nil"/>
              <w:bottom w:val="single" w:sz="8" w:space="0" w:color="auto"/>
              <w:right w:val="nil"/>
            </w:tcBorders>
            <w:shd w:val="clear" w:color="auto" w:fill="auto"/>
            <w:noWrap/>
            <w:vAlign w:val="center"/>
            <w:hideMark/>
          </w:tcPr>
          <w:p w14:paraId="23E1B643" w14:textId="77777777" w:rsidR="00FA4DF5" w:rsidRDefault="00FA4DF5">
            <w:pPr>
              <w:rPr>
                <w:color w:val="000000"/>
                <w:sz w:val="20"/>
                <w:szCs w:val="20"/>
              </w:rPr>
            </w:pPr>
            <w:r>
              <w:rPr>
                <w:color w:val="000000"/>
                <w:sz w:val="20"/>
                <w:szCs w:val="20"/>
              </w:rPr>
              <w:t> </w:t>
            </w:r>
          </w:p>
        </w:tc>
        <w:tc>
          <w:tcPr>
            <w:tcW w:w="447" w:type="dxa"/>
            <w:tcBorders>
              <w:top w:val="nil"/>
              <w:left w:val="nil"/>
              <w:bottom w:val="single" w:sz="8" w:space="0" w:color="auto"/>
              <w:right w:val="single" w:sz="8" w:space="0" w:color="auto"/>
            </w:tcBorders>
            <w:shd w:val="clear" w:color="auto" w:fill="auto"/>
            <w:noWrap/>
            <w:vAlign w:val="center"/>
            <w:hideMark/>
          </w:tcPr>
          <w:p w14:paraId="251A0088" w14:textId="77777777" w:rsidR="00FA4DF5" w:rsidRDefault="00FA4DF5">
            <w:pPr>
              <w:rPr>
                <w:color w:val="000000"/>
                <w:sz w:val="20"/>
                <w:szCs w:val="20"/>
              </w:rPr>
            </w:pPr>
            <w:r>
              <w:rPr>
                <w:color w:val="000000"/>
                <w:sz w:val="20"/>
                <w:szCs w:val="20"/>
              </w:rPr>
              <w:t> </w:t>
            </w:r>
          </w:p>
        </w:tc>
      </w:tr>
    </w:tbl>
    <w:p w14:paraId="30A3795B" w14:textId="77777777" w:rsidR="002164BB" w:rsidRDefault="002164BB" w:rsidP="007B6E4C">
      <w:pPr>
        <w:spacing w:after="200" w:line="276" w:lineRule="auto"/>
        <w:rPr>
          <w:b/>
          <w:sz w:val="28"/>
        </w:rPr>
      </w:pPr>
    </w:p>
    <w:p w14:paraId="0A7362C4" w14:textId="77777777" w:rsidR="002164BB" w:rsidRDefault="009604CE">
      <w:pPr>
        <w:spacing w:after="200" w:line="276" w:lineRule="auto"/>
        <w:rPr>
          <w:b/>
          <w:sz w:val="28"/>
        </w:rPr>
      </w:pPr>
      <w:r>
        <w:rPr>
          <w:b/>
          <w:sz w:val="28"/>
        </w:rPr>
        <w:br w:type="page"/>
      </w:r>
    </w:p>
    <w:p w14:paraId="07A0B05B" w14:textId="77777777" w:rsidR="002164BB" w:rsidRDefault="002164BB" w:rsidP="007B6E4C">
      <w:pPr>
        <w:spacing w:after="200" w:line="276" w:lineRule="auto"/>
        <w:rPr>
          <w:b/>
          <w:sz w:val="28"/>
        </w:rPr>
      </w:pPr>
    </w:p>
    <w:p w14:paraId="3A9A3A8C" w14:textId="77777777" w:rsidR="00323485" w:rsidRPr="00E85E3A" w:rsidRDefault="009604CE" w:rsidP="007B6E4C">
      <w:pPr>
        <w:spacing w:after="200" w:line="276" w:lineRule="auto"/>
        <w:rPr>
          <w:b/>
          <w:sz w:val="28"/>
        </w:rPr>
      </w:pPr>
      <w:r w:rsidRPr="00E85E3A">
        <w:rPr>
          <w:b/>
          <w:sz w:val="28"/>
        </w:rPr>
        <w:t>O</w:t>
      </w:r>
      <w:r w:rsidR="001E6B7F">
        <w:rPr>
          <w:b/>
          <w:sz w:val="28"/>
        </w:rPr>
        <w:t>BSAH</w:t>
      </w:r>
    </w:p>
    <w:p w14:paraId="198DCACE" w14:textId="7A96AE96" w:rsidR="008C1E35" w:rsidRDefault="009604CE">
      <w:pPr>
        <w:pStyle w:val="Obsah1"/>
        <w:tabs>
          <w:tab w:val="left" w:pos="660"/>
          <w:tab w:val="right" w:leader="dot" w:pos="9062"/>
        </w:tabs>
        <w:rPr>
          <w:rFonts w:asciiTheme="minorHAnsi" w:eastAsiaTheme="minorEastAsia" w:hAnsiTheme="minorHAnsi" w:cstheme="minorBidi"/>
          <w:noProof/>
          <w:kern w:val="2"/>
          <w:sz w:val="22"/>
          <w:szCs w:val="22"/>
          <w14:ligatures w14:val="standardContextual"/>
        </w:rPr>
      </w:pPr>
      <w:r w:rsidRPr="00E85E3A">
        <w:fldChar w:fldCharType="begin"/>
      </w:r>
      <w:r w:rsidR="00323485" w:rsidRPr="00E85E3A">
        <w:instrText xml:space="preserve"> TOC \o "1-3" \h \z \u </w:instrText>
      </w:r>
      <w:r w:rsidRPr="00E85E3A">
        <w:fldChar w:fldCharType="separate"/>
      </w:r>
      <w:hyperlink w:anchor="_Toc165831758" w:history="1">
        <w:r w:rsidR="008C1E35" w:rsidRPr="004952B0">
          <w:rPr>
            <w:rStyle w:val="Hypertextovodkaz"/>
            <w:noProof/>
          </w:rPr>
          <w:t>A.</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SEZNAM PODKLADŮ</w:t>
        </w:r>
        <w:r w:rsidR="008C1E35">
          <w:rPr>
            <w:noProof/>
            <w:webHidden/>
          </w:rPr>
          <w:tab/>
        </w:r>
        <w:r w:rsidR="008C1E35">
          <w:rPr>
            <w:noProof/>
            <w:webHidden/>
          </w:rPr>
          <w:fldChar w:fldCharType="begin"/>
        </w:r>
        <w:r w:rsidR="008C1E35">
          <w:rPr>
            <w:noProof/>
            <w:webHidden/>
          </w:rPr>
          <w:instrText xml:space="preserve"> PAGEREF _Toc165831758 \h </w:instrText>
        </w:r>
        <w:r w:rsidR="008C1E35">
          <w:rPr>
            <w:noProof/>
            <w:webHidden/>
          </w:rPr>
        </w:r>
        <w:r w:rsidR="008C1E35">
          <w:rPr>
            <w:noProof/>
            <w:webHidden/>
          </w:rPr>
          <w:fldChar w:fldCharType="separate"/>
        </w:r>
        <w:r w:rsidR="0085513B">
          <w:rPr>
            <w:noProof/>
            <w:webHidden/>
          </w:rPr>
          <w:t>3</w:t>
        </w:r>
        <w:r w:rsidR="008C1E35">
          <w:rPr>
            <w:noProof/>
            <w:webHidden/>
          </w:rPr>
          <w:fldChar w:fldCharType="end"/>
        </w:r>
      </w:hyperlink>
    </w:p>
    <w:p w14:paraId="6FAA0F22" w14:textId="4ACA6A4A" w:rsidR="008C1E35" w:rsidRDefault="00DB576C">
      <w:pPr>
        <w:pStyle w:val="Obsah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165831759" w:history="1">
        <w:r w:rsidR="008C1E35" w:rsidRPr="004952B0">
          <w:rPr>
            <w:rStyle w:val="Hypertextovodkaz"/>
            <w:noProof/>
          </w:rPr>
          <w:t>B.</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SEZNAM ZKRATEK</w:t>
        </w:r>
        <w:r w:rsidR="008C1E35">
          <w:rPr>
            <w:noProof/>
            <w:webHidden/>
          </w:rPr>
          <w:tab/>
        </w:r>
        <w:r w:rsidR="008C1E35">
          <w:rPr>
            <w:noProof/>
            <w:webHidden/>
          </w:rPr>
          <w:fldChar w:fldCharType="begin"/>
        </w:r>
        <w:r w:rsidR="008C1E35">
          <w:rPr>
            <w:noProof/>
            <w:webHidden/>
          </w:rPr>
          <w:instrText xml:space="preserve"> PAGEREF _Toc165831759 \h </w:instrText>
        </w:r>
        <w:r w:rsidR="008C1E35">
          <w:rPr>
            <w:noProof/>
            <w:webHidden/>
          </w:rPr>
        </w:r>
        <w:r w:rsidR="008C1E35">
          <w:rPr>
            <w:noProof/>
            <w:webHidden/>
          </w:rPr>
          <w:fldChar w:fldCharType="separate"/>
        </w:r>
        <w:r w:rsidR="0085513B">
          <w:rPr>
            <w:noProof/>
            <w:webHidden/>
          </w:rPr>
          <w:t>4</w:t>
        </w:r>
        <w:r w:rsidR="008C1E35">
          <w:rPr>
            <w:noProof/>
            <w:webHidden/>
          </w:rPr>
          <w:fldChar w:fldCharType="end"/>
        </w:r>
      </w:hyperlink>
    </w:p>
    <w:p w14:paraId="6A13846F" w14:textId="259F1AF4" w:rsidR="008C1E35" w:rsidRDefault="00DB576C">
      <w:pPr>
        <w:pStyle w:val="Obsah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165831760" w:history="1">
        <w:r w:rsidR="008C1E35" w:rsidRPr="004952B0">
          <w:rPr>
            <w:rStyle w:val="Hypertextovodkaz"/>
            <w:noProof/>
          </w:rPr>
          <w:t>C.</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ÚVOD</w:t>
        </w:r>
        <w:r w:rsidR="008C1E35">
          <w:rPr>
            <w:noProof/>
            <w:webHidden/>
          </w:rPr>
          <w:tab/>
        </w:r>
        <w:r w:rsidR="008C1E35">
          <w:rPr>
            <w:noProof/>
            <w:webHidden/>
          </w:rPr>
          <w:fldChar w:fldCharType="begin"/>
        </w:r>
        <w:r w:rsidR="008C1E35">
          <w:rPr>
            <w:noProof/>
            <w:webHidden/>
          </w:rPr>
          <w:instrText xml:space="preserve"> PAGEREF _Toc165831760 \h </w:instrText>
        </w:r>
        <w:r w:rsidR="008C1E35">
          <w:rPr>
            <w:noProof/>
            <w:webHidden/>
          </w:rPr>
        </w:r>
        <w:r w:rsidR="008C1E35">
          <w:rPr>
            <w:noProof/>
            <w:webHidden/>
          </w:rPr>
          <w:fldChar w:fldCharType="separate"/>
        </w:r>
        <w:r w:rsidR="0085513B">
          <w:rPr>
            <w:noProof/>
            <w:webHidden/>
          </w:rPr>
          <w:t>4</w:t>
        </w:r>
        <w:r w:rsidR="008C1E35">
          <w:rPr>
            <w:noProof/>
            <w:webHidden/>
          </w:rPr>
          <w:fldChar w:fldCharType="end"/>
        </w:r>
      </w:hyperlink>
    </w:p>
    <w:p w14:paraId="09CC848C" w14:textId="00DDD349" w:rsidR="008C1E35" w:rsidRDefault="00DB576C">
      <w:pPr>
        <w:pStyle w:val="Obsah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165831761" w:history="1">
        <w:r w:rsidR="008C1E35" w:rsidRPr="004952B0">
          <w:rPr>
            <w:rStyle w:val="Hypertextovodkaz"/>
            <w:noProof/>
          </w:rPr>
          <w:t>D.</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STRUČNÝ POPIS STAVBY</w:t>
        </w:r>
        <w:r w:rsidR="008C1E35">
          <w:rPr>
            <w:noProof/>
            <w:webHidden/>
          </w:rPr>
          <w:tab/>
        </w:r>
        <w:r w:rsidR="008C1E35">
          <w:rPr>
            <w:noProof/>
            <w:webHidden/>
          </w:rPr>
          <w:fldChar w:fldCharType="begin"/>
        </w:r>
        <w:r w:rsidR="008C1E35">
          <w:rPr>
            <w:noProof/>
            <w:webHidden/>
          </w:rPr>
          <w:instrText xml:space="preserve"> PAGEREF _Toc165831761 \h </w:instrText>
        </w:r>
        <w:r w:rsidR="008C1E35">
          <w:rPr>
            <w:noProof/>
            <w:webHidden/>
          </w:rPr>
        </w:r>
        <w:r w:rsidR="008C1E35">
          <w:rPr>
            <w:noProof/>
            <w:webHidden/>
          </w:rPr>
          <w:fldChar w:fldCharType="separate"/>
        </w:r>
        <w:r w:rsidR="0085513B">
          <w:rPr>
            <w:noProof/>
            <w:webHidden/>
          </w:rPr>
          <w:t>4</w:t>
        </w:r>
        <w:r w:rsidR="008C1E35">
          <w:rPr>
            <w:noProof/>
            <w:webHidden/>
          </w:rPr>
          <w:fldChar w:fldCharType="end"/>
        </w:r>
      </w:hyperlink>
    </w:p>
    <w:p w14:paraId="0605A9C2" w14:textId="21EBBEBA" w:rsidR="008C1E35" w:rsidRDefault="00DB576C">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5831762" w:history="1">
        <w:r w:rsidR="008C1E35" w:rsidRPr="004952B0">
          <w:rPr>
            <w:rStyle w:val="Hypertextovodkaz"/>
            <w:noProof/>
          </w:rPr>
          <w:t>D.1</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Popis objektu</w:t>
        </w:r>
        <w:r w:rsidR="008C1E35">
          <w:rPr>
            <w:noProof/>
            <w:webHidden/>
          </w:rPr>
          <w:tab/>
        </w:r>
        <w:r w:rsidR="008C1E35">
          <w:rPr>
            <w:noProof/>
            <w:webHidden/>
          </w:rPr>
          <w:fldChar w:fldCharType="begin"/>
        </w:r>
        <w:r w:rsidR="008C1E35">
          <w:rPr>
            <w:noProof/>
            <w:webHidden/>
          </w:rPr>
          <w:instrText xml:space="preserve"> PAGEREF _Toc165831762 \h </w:instrText>
        </w:r>
        <w:r w:rsidR="008C1E35">
          <w:rPr>
            <w:noProof/>
            <w:webHidden/>
          </w:rPr>
        </w:r>
        <w:r w:rsidR="008C1E35">
          <w:rPr>
            <w:noProof/>
            <w:webHidden/>
          </w:rPr>
          <w:fldChar w:fldCharType="separate"/>
        </w:r>
        <w:r w:rsidR="0085513B">
          <w:rPr>
            <w:noProof/>
            <w:webHidden/>
          </w:rPr>
          <w:t>4</w:t>
        </w:r>
        <w:r w:rsidR="008C1E35">
          <w:rPr>
            <w:noProof/>
            <w:webHidden/>
          </w:rPr>
          <w:fldChar w:fldCharType="end"/>
        </w:r>
      </w:hyperlink>
    </w:p>
    <w:p w14:paraId="224E221D" w14:textId="3A2001E4" w:rsidR="008C1E35" w:rsidRDefault="00DB576C">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5831763" w:history="1">
        <w:r w:rsidR="008C1E35" w:rsidRPr="004952B0">
          <w:rPr>
            <w:rStyle w:val="Hypertextovodkaz"/>
            <w:noProof/>
          </w:rPr>
          <w:t>D.2</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Požárně technické údaje o stavbě</w:t>
        </w:r>
        <w:r w:rsidR="008C1E35">
          <w:rPr>
            <w:noProof/>
            <w:webHidden/>
          </w:rPr>
          <w:tab/>
        </w:r>
        <w:r w:rsidR="008C1E35">
          <w:rPr>
            <w:noProof/>
            <w:webHidden/>
          </w:rPr>
          <w:fldChar w:fldCharType="begin"/>
        </w:r>
        <w:r w:rsidR="008C1E35">
          <w:rPr>
            <w:noProof/>
            <w:webHidden/>
          </w:rPr>
          <w:instrText xml:space="preserve"> PAGEREF _Toc165831763 \h </w:instrText>
        </w:r>
        <w:r w:rsidR="008C1E35">
          <w:rPr>
            <w:noProof/>
            <w:webHidden/>
          </w:rPr>
        </w:r>
        <w:r w:rsidR="008C1E35">
          <w:rPr>
            <w:noProof/>
            <w:webHidden/>
          </w:rPr>
          <w:fldChar w:fldCharType="separate"/>
        </w:r>
        <w:r w:rsidR="0085513B">
          <w:rPr>
            <w:noProof/>
            <w:webHidden/>
          </w:rPr>
          <w:t>4</w:t>
        </w:r>
        <w:r w:rsidR="008C1E35">
          <w:rPr>
            <w:noProof/>
            <w:webHidden/>
          </w:rPr>
          <w:fldChar w:fldCharType="end"/>
        </w:r>
      </w:hyperlink>
    </w:p>
    <w:p w14:paraId="2A7F7393" w14:textId="7FFAA088" w:rsidR="008C1E35" w:rsidRDefault="00DB576C">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5831764" w:history="1">
        <w:r w:rsidR="008C1E35" w:rsidRPr="004952B0">
          <w:rPr>
            <w:rStyle w:val="Hypertextovodkaz"/>
            <w:noProof/>
          </w:rPr>
          <w:t>D.3</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Popis plánovaných změn</w:t>
        </w:r>
        <w:r w:rsidR="008C1E35">
          <w:rPr>
            <w:noProof/>
            <w:webHidden/>
          </w:rPr>
          <w:tab/>
        </w:r>
        <w:r w:rsidR="008C1E35">
          <w:rPr>
            <w:noProof/>
            <w:webHidden/>
          </w:rPr>
          <w:fldChar w:fldCharType="begin"/>
        </w:r>
        <w:r w:rsidR="008C1E35">
          <w:rPr>
            <w:noProof/>
            <w:webHidden/>
          </w:rPr>
          <w:instrText xml:space="preserve"> PAGEREF _Toc165831764 \h </w:instrText>
        </w:r>
        <w:r w:rsidR="008C1E35">
          <w:rPr>
            <w:noProof/>
            <w:webHidden/>
          </w:rPr>
        </w:r>
        <w:r w:rsidR="008C1E35">
          <w:rPr>
            <w:noProof/>
            <w:webHidden/>
          </w:rPr>
          <w:fldChar w:fldCharType="separate"/>
        </w:r>
        <w:r w:rsidR="0085513B">
          <w:rPr>
            <w:noProof/>
            <w:webHidden/>
          </w:rPr>
          <w:t>4</w:t>
        </w:r>
        <w:r w:rsidR="008C1E35">
          <w:rPr>
            <w:noProof/>
            <w:webHidden/>
          </w:rPr>
          <w:fldChar w:fldCharType="end"/>
        </w:r>
      </w:hyperlink>
    </w:p>
    <w:p w14:paraId="76819B5A" w14:textId="3B3052F9" w:rsidR="008C1E35" w:rsidRDefault="00DB576C">
      <w:pPr>
        <w:pStyle w:val="Obsah1"/>
        <w:tabs>
          <w:tab w:val="left" w:pos="440"/>
          <w:tab w:val="right" w:leader="dot" w:pos="9062"/>
        </w:tabs>
        <w:rPr>
          <w:rFonts w:asciiTheme="minorHAnsi" w:eastAsiaTheme="minorEastAsia" w:hAnsiTheme="minorHAnsi" w:cstheme="minorBidi"/>
          <w:noProof/>
          <w:kern w:val="2"/>
          <w:sz w:val="22"/>
          <w:szCs w:val="22"/>
          <w14:ligatures w14:val="standardContextual"/>
        </w:rPr>
      </w:pPr>
      <w:hyperlink w:anchor="_Toc165831765" w:history="1">
        <w:r w:rsidR="008C1E35" w:rsidRPr="004952B0">
          <w:rPr>
            <w:rStyle w:val="Hypertextovodkaz"/>
            <w:noProof/>
          </w:rPr>
          <w:t>E.</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PRŮKAZ MOŽNOSTI POUŽITÍ ČSN 73 0834 DLE KAP. 1</w:t>
        </w:r>
        <w:r w:rsidR="008C1E35">
          <w:rPr>
            <w:noProof/>
            <w:webHidden/>
          </w:rPr>
          <w:tab/>
        </w:r>
        <w:r w:rsidR="008C1E35">
          <w:rPr>
            <w:noProof/>
            <w:webHidden/>
          </w:rPr>
          <w:fldChar w:fldCharType="begin"/>
        </w:r>
        <w:r w:rsidR="008C1E35">
          <w:rPr>
            <w:noProof/>
            <w:webHidden/>
          </w:rPr>
          <w:instrText xml:space="preserve"> PAGEREF _Toc165831765 \h </w:instrText>
        </w:r>
        <w:r w:rsidR="008C1E35">
          <w:rPr>
            <w:noProof/>
            <w:webHidden/>
          </w:rPr>
        </w:r>
        <w:r w:rsidR="008C1E35">
          <w:rPr>
            <w:noProof/>
            <w:webHidden/>
          </w:rPr>
          <w:fldChar w:fldCharType="separate"/>
        </w:r>
        <w:r w:rsidR="0085513B">
          <w:rPr>
            <w:noProof/>
            <w:webHidden/>
          </w:rPr>
          <w:t>5</w:t>
        </w:r>
        <w:r w:rsidR="008C1E35">
          <w:rPr>
            <w:noProof/>
            <w:webHidden/>
          </w:rPr>
          <w:fldChar w:fldCharType="end"/>
        </w:r>
      </w:hyperlink>
    </w:p>
    <w:p w14:paraId="6531BA70" w14:textId="67FDFD41" w:rsidR="008C1E35" w:rsidRDefault="00DB576C">
      <w:pPr>
        <w:pStyle w:val="Obsah1"/>
        <w:tabs>
          <w:tab w:val="left" w:pos="440"/>
          <w:tab w:val="right" w:leader="dot" w:pos="9062"/>
        </w:tabs>
        <w:rPr>
          <w:rFonts w:asciiTheme="minorHAnsi" w:eastAsiaTheme="minorEastAsia" w:hAnsiTheme="minorHAnsi" w:cstheme="minorBidi"/>
          <w:noProof/>
          <w:kern w:val="2"/>
          <w:sz w:val="22"/>
          <w:szCs w:val="22"/>
          <w14:ligatures w14:val="standardContextual"/>
        </w:rPr>
      </w:pPr>
      <w:hyperlink w:anchor="_Toc165831766" w:history="1">
        <w:r w:rsidR="008C1E35" w:rsidRPr="004952B0">
          <w:rPr>
            <w:rStyle w:val="Hypertextovodkaz"/>
            <w:noProof/>
          </w:rPr>
          <w:t>F.</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POSUDEK DLE ČL. 3.2 ČSN 73 0834</w:t>
        </w:r>
        <w:r w:rsidR="008C1E35">
          <w:rPr>
            <w:noProof/>
            <w:webHidden/>
          </w:rPr>
          <w:tab/>
        </w:r>
        <w:r w:rsidR="008C1E35">
          <w:rPr>
            <w:noProof/>
            <w:webHidden/>
          </w:rPr>
          <w:fldChar w:fldCharType="begin"/>
        </w:r>
        <w:r w:rsidR="008C1E35">
          <w:rPr>
            <w:noProof/>
            <w:webHidden/>
          </w:rPr>
          <w:instrText xml:space="preserve"> PAGEREF _Toc165831766 \h </w:instrText>
        </w:r>
        <w:r w:rsidR="008C1E35">
          <w:rPr>
            <w:noProof/>
            <w:webHidden/>
          </w:rPr>
        </w:r>
        <w:r w:rsidR="008C1E35">
          <w:rPr>
            <w:noProof/>
            <w:webHidden/>
          </w:rPr>
          <w:fldChar w:fldCharType="separate"/>
        </w:r>
        <w:r w:rsidR="0085513B">
          <w:rPr>
            <w:noProof/>
            <w:webHidden/>
          </w:rPr>
          <w:t>5</w:t>
        </w:r>
        <w:r w:rsidR="008C1E35">
          <w:rPr>
            <w:noProof/>
            <w:webHidden/>
          </w:rPr>
          <w:fldChar w:fldCharType="end"/>
        </w:r>
      </w:hyperlink>
    </w:p>
    <w:p w14:paraId="3FCA4682" w14:textId="2795DE83" w:rsidR="008C1E35" w:rsidRDefault="00DB576C">
      <w:pPr>
        <w:pStyle w:val="Obsah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165831767" w:history="1">
        <w:r w:rsidR="008C1E35" w:rsidRPr="004952B0">
          <w:rPr>
            <w:rStyle w:val="Hypertextovodkaz"/>
            <w:noProof/>
          </w:rPr>
          <w:t>G.</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POSUDEK ZMĚNY STAVBY DLE ČL. 3.3 ČSN 73 0834</w:t>
        </w:r>
        <w:r w:rsidR="008C1E35">
          <w:rPr>
            <w:noProof/>
            <w:webHidden/>
          </w:rPr>
          <w:tab/>
        </w:r>
        <w:r w:rsidR="008C1E35">
          <w:rPr>
            <w:noProof/>
            <w:webHidden/>
          </w:rPr>
          <w:fldChar w:fldCharType="begin"/>
        </w:r>
        <w:r w:rsidR="008C1E35">
          <w:rPr>
            <w:noProof/>
            <w:webHidden/>
          </w:rPr>
          <w:instrText xml:space="preserve"> PAGEREF _Toc165831767 \h </w:instrText>
        </w:r>
        <w:r w:rsidR="008C1E35">
          <w:rPr>
            <w:noProof/>
            <w:webHidden/>
          </w:rPr>
        </w:r>
        <w:r w:rsidR="008C1E35">
          <w:rPr>
            <w:noProof/>
            <w:webHidden/>
          </w:rPr>
          <w:fldChar w:fldCharType="separate"/>
        </w:r>
        <w:r w:rsidR="0085513B">
          <w:rPr>
            <w:noProof/>
            <w:webHidden/>
          </w:rPr>
          <w:t>6</w:t>
        </w:r>
        <w:r w:rsidR="008C1E35">
          <w:rPr>
            <w:noProof/>
            <w:webHidden/>
          </w:rPr>
          <w:fldChar w:fldCharType="end"/>
        </w:r>
      </w:hyperlink>
    </w:p>
    <w:p w14:paraId="4DFFD1AD" w14:textId="5FF8A9E9" w:rsidR="008C1E35" w:rsidRDefault="00DB576C">
      <w:pPr>
        <w:pStyle w:val="Obsah1"/>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165831768" w:history="1">
        <w:r w:rsidR="008C1E35" w:rsidRPr="004952B0">
          <w:rPr>
            <w:rStyle w:val="Hypertextovodkaz"/>
            <w:noProof/>
          </w:rPr>
          <w:t>H.</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TECHNICKÉ POŽADAVKY NA ZMĚNY STAVEB SKUPINY I</w:t>
        </w:r>
        <w:r w:rsidR="008C1E35">
          <w:rPr>
            <w:noProof/>
            <w:webHidden/>
          </w:rPr>
          <w:tab/>
        </w:r>
        <w:r w:rsidR="008C1E35">
          <w:rPr>
            <w:noProof/>
            <w:webHidden/>
          </w:rPr>
          <w:fldChar w:fldCharType="begin"/>
        </w:r>
        <w:r w:rsidR="008C1E35">
          <w:rPr>
            <w:noProof/>
            <w:webHidden/>
          </w:rPr>
          <w:instrText xml:space="preserve"> PAGEREF _Toc165831768 \h </w:instrText>
        </w:r>
        <w:r w:rsidR="008C1E35">
          <w:rPr>
            <w:noProof/>
            <w:webHidden/>
          </w:rPr>
        </w:r>
        <w:r w:rsidR="008C1E35">
          <w:rPr>
            <w:noProof/>
            <w:webHidden/>
          </w:rPr>
          <w:fldChar w:fldCharType="separate"/>
        </w:r>
        <w:r w:rsidR="0085513B">
          <w:rPr>
            <w:noProof/>
            <w:webHidden/>
          </w:rPr>
          <w:t>7</w:t>
        </w:r>
        <w:r w:rsidR="008C1E35">
          <w:rPr>
            <w:noProof/>
            <w:webHidden/>
          </w:rPr>
          <w:fldChar w:fldCharType="end"/>
        </w:r>
      </w:hyperlink>
    </w:p>
    <w:p w14:paraId="6A1BBBA0" w14:textId="51AFBCA2" w:rsidR="008C1E35" w:rsidRDefault="00DB576C">
      <w:pPr>
        <w:pStyle w:val="Obsah1"/>
        <w:tabs>
          <w:tab w:val="left" w:pos="440"/>
          <w:tab w:val="right" w:leader="dot" w:pos="9062"/>
        </w:tabs>
        <w:rPr>
          <w:rFonts w:asciiTheme="minorHAnsi" w:eastAsiaTheme="minorEastAsia" w:hAnsiTheme="minorHAnsi" w:cstheme="minorBidi"/>
          <w:noProof/>
          <w:kern w:val="2"/>
          <w:sz w:val="22"/>
          <w:szCs w:val="22"/>
          <w14:ligatures w14:val="standardContextual"/>
        </w:rPr>
      </w:pPr>
      <w:hyperlink w:anchor="_Toc165831769" w:history="1">
        <w:r w:rsidR="008C1E35" w:rsidRPr="004952B0">
          <w:rPr>
            <w:rStyle w:val="Hypertextovodkaz"/>
            <w:noProof/>
          </w:rPr>
          <w:t>I.</w:t>
        </w:r>
        <w:r w:rsidR="008C1E35">
          <w:rPr>
            <w:rFonts w:asciiTheme="minorHAnsi" w:eastAsiaTheme="minorEastAsia" w:hAnsiTheme="minorHAnsi" w:cstheme="minorBidi"/>
            <w:noProof/>
            <w:kern w:val="2"/>
            <w:sz w:val="22"/>
            <w:szCs w:val="22"/>
            <w14:ligatures w14:val="standardContextual"/>
          </w:rPr>
          <w:tab/>
        </w:r>
        <w:r w:rsidR="008C1E35" w:rsidRPr="004952B0">
          <w:rPr>
            <w:rStyle w:val="Hypertextovodkaz"/>
            <w:noProof/>
          </w:rPr>
          <w:t>ZÁVĚR</w:t>
        </w:r>
        <w:r w:rsidR="008C1E35">
          <w:rPr>
            <w:noProof/>
            <w:webHidden/>
          </w:rPr>
          <w:tab/>
        </w:r>
        <w:r w:rsidR="008C1E35">
          <w:rPr>
            <w:noProof/>
            <w:webHidden/>
          </w:rPr>
          <w:fldChar w:fldCharType="begin"/>
        </w:r>
        <w:r w:rsidR="008C1E35">
          <w:rPr>
            <w:noProof/>
            <w:webHidden/>
          </w:rPr>
          <w:instrText xml:space="preserve"> PAGEREF _Toc165831769 \h </w:instrText>
        </w:r>
        <w:r w:rsidR="008C1E35">
          <w:rPr>
            <w:noProof/>
            <w:webHidden/>
          </w:rPr>
        </w:r>
        <w:r w:rsidR="008C1E35">
          <w:rPr>
            <w:noProof/>
            <w:webHidden/>
          </w:rPr>
          <w:fldChar w:fldCharType="separate"/>
        </w:r>
        <w:r w:rsidR="0085513B">
          <w:rPr>
            <w:noProof/>
            <w:webHidden/>
          </w:rPr>
          <w:t>14</w:t>
        </w:r>
        <w:r w:rsidR="008C1E35">
          <w:rPr>
            <w:noProof/>
            <w:webHidden/>
          </w:rPr>
          <w:fldChar w:fldCharType="end"/>
        </w:r>
      </w:hyperlink>
    </w:p>
    <w:p w14:paraId="3C783DE7" w14:textId="44F9EAE7" w:rsidR="00323485" w:rsidRPr="00E85E3A" w:rsidRDefault="009604CE" w:rsidP="00323485">
      <w:pPr>
        <w:jc w:val="both"/>
      </w:pPr>
      <w:r w:rsidRPr="00E85E3A">
        <w:rPr>
          <w:b/>
          <w:bCs/>
        </w:rPr>
        <w:fldChar w:fldCharType="end"/>
      </w:r>
    </w:p>
    <w:p w14:paraId="6BEB8B2D" w14:textId="77777777" w:rsidR="00323485" w:rsidRPr="00E85E3A" w:rsidRDefault="00323485" w:rsidP="00323485">
      <w:pPr>
        <w:jc w:val="both"/>
      </w:pPr>
    </w:p>
    <w:p w14:paraId="46472965" w14:textId="77777777" w:rsidR="00323485" w:rsidRPr="00E85E3A" w:rsidRDefault="00323485" w:rsidP="00323485"/>
    <w:p w14:paraId="330BDED6" w14:textId="77777777" w:rsidR="00CF125C" w:rsidRPr="00E85E3A" w:rsidRDefault="00CF125C" w:rsidP="00323485"/>
    <w:p w14:paraId="697074BB" w14:textId="77777777" w:rsidR="00CF125C" w:rsidRPr="00E85E3A" w:rsidRDefault="00CF125C" w:rsidP="00323485"/>
    <w:p w14:paraId="1A3B2498" w14:textId="77777777" w:rsidR="00CF125C" w:rsidRPr="00E85E3A" w:rsidRDefault="00CF125C" w:rsidP="00323485"/>
    <w:p w14:paraId="69F79BF4" w14:textId="77777777" w:rsidR="00CF125C" w:rsidRPr="00E85E3A" w:rsidRDefault="00CF125C" w:rsidP="00323485"/>
    <w:p w14:paraId="5B26DD72" w14:textId="77777777" w:rsidR="00CF125C" w:rsidRPr="00E85E3A" w:rsidRDefault="00CF125C" w:rsidP="00323485"/>
    <w:p w14:paraId="7D0A3747" w14:textId="77777777" w:rsidR="00CF125C" w:rsidRPr="00E85E3A" w:rsidRDefault="00CF125C" w:rsidP="00323485"/>
    <w:p w14:paraId="0BF788F8" w14:textId="77777777" w:rsidR="00CF125C" w:rsidRPr="00E85E3A" w:rsidRDefault="00CF125C" w:rsidP="00323485"/>
    <w:p w14:paraId="324E5468" w14:textId="77777777" w:rsidR="00CF125C" w:rsidRPr="00E85E3A" w:rsidRDefault="00CF125C" w:rsidP="00323485"/>
    <w:p w14:paraId="0208EA1C" w14:textId="77777777" w:rsidR="00CF125C" w:rsidRPr="00E85E3A" w:rsidRDefault="00CF125C" w:rsidP="00323485"/>
    <w:p w14:paraId="2B09DCDC" w14:textId="77777777" w:rsidR="00CF125C" w:rsidRPr="00E85E3A" w:rsidRDefault="00CF125C" w:rsidP="00323485"/>
    <w:p w14:paraId="346AAF9A" w14:textId="77777777" w:rsidR="00CF125C" w:rsidRPr="00E85E3A" w:rsidRDefault="00CF125C" w:rsidP="00323485"/>
    <w:p w14:paraId="7BDF82F4" w14:textId="77777777" w:rsidR="00CF125C" w:rsidRPr="00E85E3A" w:rsidRDefault="00CF125C" w:rsidP="00323485"/>
    <w:p w14:paraId="48AFCCF1" w14:textId="77777777" w:rsidR="00CF125C" w:rsidRPr="00E85E3A" w:rsidRDefault="00CF125C" w:rsidP="00323485"/>
    <w:p w14:paraId="1B560E99" w14:textId="77777777" w:rsidR="00CF125C" w:rsidRPr="00E85E3A" w:rsidRDefault="00CF125C" w:rsidP="00323485"/>
    <w:p w14:paraId="4F7ABD47" w14:textId="77777777" w:rsidR="00CF125C" w:rsidRPr="00E85E3A" w:rsidRDefault="00CF125C" w:rsidP="00323485"/>
    <w:p w14:paraId="32BC2163" w14:textId="77777777" w:rsidR="00CF125C" w:rsidRPr="00E85E3A" w:rsidRDefault="00CF125C" w:rsidP="00323485"/>
    <w:p w14:paraId="7659AF93" w14:textId="77777777" w:rsidR="00CF125C" w:rsidRPr="00E85E3A" w:rsidRDefault="00CF125C" w:rsidP="00323485"/>
    <w:p w14:paraId="69B187B8" w14:textId="77777777" w:rsidR="00CF125C" w:rsidRPr="00E85E3A" w:rsidRDefault="00CF125C" w:rsidP="008C2332">
      <w:pPr>
        <w:tabs>
          <w:tab w:val="left" w:pos="952"/>
        </w:tabs>
      </w:pPr>
    </w:p>
    <w:p w14:paraId="5AB09EA5" w14:textId="77777777" w:rsidR="00CF125C" w:rsidRPr="00E85E3A" w:rsidRDefault="00CF125C" w:rsidP="00323485"/>
    <w:p w14:paraId="44C302FF" w14:textId="77777777" w:rsidR="00441B52" w:rsidRDefault="00441B52" w:rsidP="00441B52">
      <w:pPr>
        <w:spacing w:after="200" w:line="276" w:lineRule="auto"/>
      </w:pPr>
    </w:p>
    <w:p w14:paraId="0856CF6D" w14:textId="77777777" w:rsidR="00441B52" w:rsidRDefault="009604CE" w:rsidP="00441B52">
      <w:pPr>
        <w:spacing w:after="200" w:line="276" w:lineRule="auto"/>
      </w:pPr>
      <w:r w:rsidRPr="00142239">
        <w:rPr>
          <w:b/>
        </w:rPr>
        <w:t>SEZNAM PŘÍLOH:</w:t>
      </w:r>
    </w:p>
    <w:p w14:paraId="05603376" w14:textId="605D1BBC" w:rsidR="00AB436F" w:rsidRDefault="009604CE" w:rsidP="00441B52">
      <w:pPr>
        <w:spacing w:after="200" w:line="276" w:lineRule="auto"/>
      </w:pPr>
      <w:r>
        <w:t xml:space="preserve">Příloha </w:t>
      </w:r>
      <w:r w:rsidR="002E0C42">
        <w:t>1</w:t>
      </w:r>
      <w:r>
        <w:t xml:space="preserve"> – Projektová dokumentace</w:t>
      </w:r>
      <w:r w:rsidR="002E0C42">
        <w:t xml:space="preserve">, </w:t>
      </w:r>
      <w:r>
        <w:t xml:space="preserve">zpracovaná </w:t>
      </w:r>
      <w:r w:rsidR="002E0C42">
        <w:t xml:space="preserve">Ing. </w:t>
      </w:r>
      <w:r w:rsidR="00D7664E">
        <w:t>Arch. Magdaléna Mlejnková</w:t>
      </w:r>
      <w:r>
        <w:t xml:space="preserve"> </w:t>
      </w:r>
      <w:r w:rsidR="00B0328A">
        <w:t xml:space="preserve">, </w:t>
      </w:r>
      <w:r w:rsidR="008477BC">
        <w:t>0</w:t>
      </w:r>
      <w:r w:rsidR="000D30C0">
        <w:t>5</w:t>
      </w:r>
      <w:r w:rsidR="00B0328A">
        <w:t>/202</w:t>
      </w:r>
      <w:r w:rsidR="00D7664E">
        <w:t>4</w:t>
      </w:r>
      <w:r>
        <w:br w:type="page"/>
      </w:r>
    </w:p>
    <w:p w14:paraId="56A2E572" w14:textId="77777777" w:rsidR="00323485" w:rsidRPr="00E85E3A" w:rsidRDefault="009604CE" w:rsidP="00323485">
      <w:pPr>
        <w:pStyle w:val="Nadpis1"/>
      </w:pPr>
      <w:bookmarkStart w:id="0" w:name="_Toc165831758"/>
      <w:r w:rsidRPr="00E85E3A">
        <w:lastRenderedPageBreak/>
        <w:t>SEZNAM PODKLADŮ</w:t>
      </w:r>
      <w:bookmarkEnd w:id="0"/>
    </w:p>
    <w:p w14:paraId="42492D5E" w14:textId="77777777" w:rsidR="00781D6C" w:rsidRPr="00CE703E" w:rsidRDefault="009604CE" w:rsidP="00781D6C">
      <w:pPr>
        <w:pStyle w:val="Odstavecseseznamem"/>
        <w:numPr>
          <w:ilvl w:val="0"/>
          <w:numId w:val="2"/>
        </w:numPr>
        <w:jc w:val="both"/>
        <w:rPr>
          <w:rFonts w:ascii="Times New Roman" w:hAnsi="Times New Roman"/>
          <w:color w:val="auto"/>
          <w:szCs w:val="24"/>
        </w:rPr>
      </w:pPr>
      <w:r w:rsidRPr="00F41255">
        <w:rPr>
          <w:rFonts w:ascii="Times New Roman" w:hAnsi="Times New Roman"/>
          <w:color w:val="auto"/>
          <w:szCs w:val="24"/>
        </w:rPr>
        <w:t>ČSN 73 0802</w:t>
      </w:r>
      <w:r w:rsidRPr="00F41255">
        <w:rPr>
          <w:rFonts w:ascii="Times New Roman" w:hAnsi="Times New Roman"/>
          <w:color w:val="auto"/>
          <w:szCs w:val="24"/>
        </w:rPr>
        <w:tab/>
        <w:t xml:space="preserve">Požární bezpečnost staveb – Nevýrobní objekty, </w:t>
      </w:r>
      <w:r>
        <w:rPr>
          <w:rFonts w:ascii="Times New Roman" w:hAnsi="Times New Roman"/>
          <w:color w:val="auto"/>
          <w:szCs w:val="24"/>
        </w:rPr>
        <w:t xml:space="preserve">ed. 2 </w:t>
      </w:r>
      <w:r w:rsidRPr="00CE703E">
        <w:rPr>
          <w:rFonts w:ascii="Times New Roman" w:hAnsi="Times New Roman"/>
        </w:rPr>
        <w:t>(</w:t>
      </w:r>
      <w:r>
        <w:rPr>
          <w:rFonts w:ascii="Times New Roman" w:hAnsi="Times New Roman"/>
        </w:rPr>
        <w:t>10</w:t>
      </w:r>
      <w:r w:rsidRPr="00CE703E">
        <w:rPr>
          <w:rFonts w:ascii="Times New Roman" w:hAnsi="Times New Roman"/>
        </w:rPr>
        <w:t>.20</w:t>
      </w:r>
      <w:r>
        <w:rPr>
          <w:rFonts w:ascii="Times New Roman" w:hAnsi="Times New Roman"/>
        </w:rPr>
        <w:t>20</w:t>
      </w:r>
      <w:r w:rsidRPr="00CE703E">
        <w:rPr>
          <w:rFonts w:ascii="Times New Roman" w:hAnsi="Times New Roman"/>
        </w:rPr>
        <w:t>)</w:t>
      </w:r>
    </w:p>
    <w:p w14:paraId="0C5E38A8" w14:textId="77777777" w:rsidR="00781D6C" w:rsidRPr="00F41255" w:rsidRDefault="009604CE" w:rsidP="00781D6C">
      <w:pPr>
        <w:pStyle w:val="Odstavecseseznamem"/>
        <w:numPr>
          <w:ilvl w:val="0"/>
          <w:numId w:val="2"/>
        </w:numPr>
        <w:jc w:val="both"/>
        <w:rPr>
          <w:rFonts w:ascii="Times New Roman" w:hAnsi="Times New Roman"/>
          <w:color w:val="auto"/>
          <w:szCs w:val="24"/>
        </w:rPr>
      </w:pPr>
      <w:r w:rsidRPr="00F41255">
        <w:rPr>
          <w:rFonts w:ascii="Times New Roman" w:hAnsi="Times New Roman"/>
          <w:color w:val="auto"/>
          <w:szCs w:val="24"/>
        </w:rPr>
        <w:t>ČSN 73 081</w:t>
      </w:r>
      <w:r>
        <w:rPr>
          <w:rFonts w:ascii="Times New Roman" w:hAnsi="Times New Roman"/>
          <w:color w:val="auto"/>
          <w:szCs w:val="24"/>
        </w:rPr>
        <w:t>0</w:t>
      </w:r>
      <w:r w:rsidRPr="00F41255">
        <w:rPr>
          <w:rFonts w:ascii="Times New Roman" w:hAnsi="Times New Roman"/>
          <w:color w:val="auto"/>
          <w:szCs w:val="24"/>
        </w:rPr>
        <w:tab/>
        <w:t xml:space="preserve">Požární bezpečnost staveb – </w:t>
      </w:r>
      <w:r>
        <w:rPr>
          <w:rFonts w:ascii="Times New Roman" w:hAnsi="Times New Roman"/>
          <w:color w:val="auto"/>
          <w:szCs w:val="24"/>
        </w:rPr>
        <w:t>Společná ustanovení</w:t>
      </w:r>
      <w:r w:rsidRPr="00F41255">
        <w:rPr>
          <w:rFonts w:ascii="Times New Roman" w:hAnsi="Times New Roman"/>
          <w:color w:val="auto"/>
          <w:szCs w:val="24"/>
        </w:rPr>
        <w:t xml:space="preserve">, ve znění </w:t>
      </w:r>
      <w:r>
        <w:rPr>
          <w:rFonts w:ascii="Times New Roman" w:hAnsi="Times New Roman"/>
          <w:color w:val="auto"/>
          <w:szCs w:val="24"/>
        </w:rPr>
        <w:t>Opravy 1</w:t>
      </w:r>
      <w:r w:rsidRPr="00F41255">
        <w:rPr>
          <w:rFonts w:ascii="Times New Roman" w:hAnsi="Times New Roman"/>
          <w:color w:val="auto"/>
          <w:szCs w:val="24"/>
        </w:rPr>
        <w:t xml:space="preserve"> </w:t>
      </w:r>
    </w:p>
    <w:p w14:paraId="15B03FC7" w14:textId="77777777" w:rsidR="00781D6C" w:rsidRDefault="009604CE" w:rsidP="00781D6C">
      <w:pPr>
        <w:pStyle w:val="Odstavecseseznamem"/>
        <w:ind w:left="360"/>
        <w:rPr>
          <w:rFonts w:ascii="Times New Roman" w:hAnsi="Times New Roman"/>
          <w:color w:val="auto"/>
          <w:szCs w:val="24"/>
        </w:rPr>
      </w:pPr>
      <w:r w:rsidRPr="00F41255">
        <w:rPr>
          <w:rFonts w:ascii="Times New Roman" w:hAnsi="Times New Roman"/>
          <w:color w:val="auto"/>
          <w:szCs w:val="24"/>
        </w:rPr>
        <w:tab/>
      </w:r>
      <w:r w:rsidRPr="00F41255">
        <w:rPr>
          <w:rFonts w:ascii="Times New Roman" w:hAnsi="Times New Roman"/>
          <w:color w:val="auto"/>
          <w:szCs w:val="24"/>
        </w:rPr>
        <w:tab/>
      </w:r>
      <w:r w:rsidRPr="00F41255">
        <w:rPr>
          <w:rFonts w:ascii="Times New Roman" w:hAnsi="Times New Roman"/>
          <w:color w:val="auto"/>
          <w:szCs w:val="24"/>
        </w:rPr>
        <w:tab/>
        <w:t>(</w:t>
      </w:r>
      <w:r>
        <w:rPr>
          <w:rFonts w:ascii="Times New Roman" w:hAnsi="Times New Roman"/>
          <w:color w:val="auto"/>
          <w:szCs w:val="24"/>
        </w:rPr>
        <w:t>03</w:t>
      </w:r>
      <w:r w:rsidRPr="00F41255">
        <w:rPr>
          <w:rFonts w:ascii="Times New Roman" w:hAnsi="Times New Roman"/>
          <w:color w:val="auto"/>
          <w:szCs w:val="24"/>
        </w:rPr>
        <w:t>.20</w:t>
      </w:r>
      <w:r>
        <w:rPr>
          <w:rFonts w:ascii="Times New Roman" w:hAnsi="Times New Roman"/>
          <w:color w:val="auto"/>
          <w:szCs w:val="24"/>
        </w:rPr>
        <w:t>20</w:t>
      </w:r>
      <w:r w:rsidRPr="00F41255">
        <w:rPr>
          <w:rFonts w:ascii="Times New Roman" w:hAnsi="Times New Roman"/>
          <w:color w:val="auto"/>
          <w:szCs w:val="24"/>
        </w:rPr>
        <w:t>)</w:t>
      </w:r>
    </w:p>
    <w:p w14:paraId="258B785B" w14:textId="77777777" w:rsidR="003E6324" w:rsidRPr="00F41255" w:rsidRDefault="009604CE" w:rsidP="003E6324">
      <w:pPr>
        <w:pStyle w:val="Odstavecseseznamem"/>
        <w:numPr>
          <w:ilvl w:val="0"/>
          <w:numId w:val="2"/>
        </w:numPr>
        <w:jc w:val="both"/>
        <w:rPr>
          <w:rFonts w:ascii="Times New Roman" w:hAnsi="Times New Roman"/>
          <w:color w:val="auto"/>
          <w:szCs w:val="24"/>
        </w:rPr>
      </w:pPr>
      <w:r w:rsidRPr="00F41255">
        <w:rPr>
          <w:rFonts w:ascii="Times New Roman" w:hAnsi="Times New Roman"/>
          <w:color w:val="auto"/>
          <w:szCs w:val="24"/>
        </w:rPr>
        <w:t>ČSN 73 0818</w:t>
      </w:r>
      <w:r w:rsidRPr="00F41255">
        <w:rPr>
          <w:rFonts w:ascii="Times New Roman" w:hAnsi="Times New Roman"/>
          <w:color w:val="auto"/>
          <w:szCs w:val="24"/>
        </w:rPr>
        <w:tab/>
        <w:t xml:space="preserve">Požární bezpečnost staveb – Obsazení objektu osobami, ve znění změny </w:t>
      </w:r>
    </w:p>
    <w:p w14:paraId="72950456" w14:textId="77777777" w:rsidR="003E6324" w:rsidRDefault="009604CE" w:rsidP="003E6324">
      <w:pPr>
        <w:pStyle w:val="Odstavecseseznamem"/>
        <w:ind w:left="360"/>
        <w:rPr>
          <w:rFonts w:ascii="Times New Roman" w:hAnsi="Times New Roman"/>
          <w:color w:val="auto"/>
          <w:szCs w:val="24"/>
        </w:rPr>
      </w:pPr>
      <w:r w:rsidRPr="00F41255">
        <w:rPr>
          <w:rFonts w:ascii="Times New Roman" w:hAnsi="Times New Roman"/>
          <w:color w:val="auto"/>
          <w:szCs w:val="24"/>
        </w:rPr>
        <w:tab/>
      </w:r>
      <w:r w:rsidRPr="00F41255">
        <w:rPr>
          <w:rFonts w:ascii="Times New Roman" w:hAnsi="Times New Roman"/>
          <w:color w:val="auto"/>
          <w:szCs w:val="24"/>
        </w:rPr>
        <w:tab/>
      </w:r>
      <w:r w:rsidRPr="00F41255">
        <w:rPr>
          <w:rFonts w:ascii="Times New Roman" w:hAnsi="Times New Roman"/>
          <w:color w:val="auto"/>
          <w:szCs w:val="24"/>
        </w:rPr>
        <w:tab/>
        <w:t>Z1 (10.2002)</w:t>
      </w:r>
    </w:p>
    <w:p w14:paraId="59D449CE" w14:textId="77777777" w:rsidR="007705B4" w:rsidRPr="00F41255" w:rsidRDefault="009604CE" w:rsidP="007705B4">
      <w:pPr>
        <w:pStyle w:val="Odstavecseseznamem"/>
        <w:numPr>
          <w:ilvl w:val="0"/>
          <w:numId w:val="2"/>
        </w:numPr>
        <w:jc w:val="both"/>
        <w:rPr>
          <w:rFonts w:ascii="Times New Roman" w:hAnsi="Times New Roman"/>
          <w:color w:val="auto"/>
          <w:szCs w:val="24"/>
        </w:rPr>
      </w:pPr>
      <w:r w:rsidRPr="00F41255">
        <w:rPr>
          <w:rFonts w:ascii="Times New Roman" w:hAnsi="Times New Roman"/>
          <w:color w:val="auto"/>
          <w:szCs w:val="24"/>
        </w:rPr>
        <w:t>ČSN 73 08</w:t>
      </w:r>
      <w:r>
        <w:rPr>
          <w:rFonts w:ascii="Times New Roman" w:hAnsi="Times New Roman"/>
          <w:color w:val="auto"/>
          <w:szCs w:val="24"/>
        </w:rPr>
        <w:t>34</w:t>
      </w:r>
      <w:r w:rsidRPr="00F41255">
        <w:rPr>
          <w:rFonts w:ascii="Times New Roman" w:hAnsi="Times New Roman"/>
          <w:color w:val="auto"/>
          <w:szCs w:val="24"/>
        </w:rPr>
        <w:tab/>
        <w:t xml:space="preserve">Požární bezpečnost staveb – </w:t>
      </w:r>
      <w:r>
        <w:rPr>
          <w:rFonts w:ascii="Times New Roman" w:hAnsi="Times New Roman"/>
          <w:color w:val="auto"/>
          <w:szCs w:val="24"/>
        </w:rPr>
        <w:t>Změny staveb</w:t>
      </w:r>
      <w:r w:rsidRPr="00F41255">
        <w:rPr>
          <w:rFonts w:ascii="Times New Roman" w:hAnsi="Times New Roman"/>
          <w:color w:val="auto"/>
          <w:szCs w:val="24"/>
        </w:rPr>
        <w:t xml:space="preserve">, ve znění změny </w:t>
      </w:r>
    </w:p>
    <w:p w14:paraId="402059B3" w14:textId="77777777" w:rsidR="007705B4" w:rsidRDefault="009604CE" w:rsidP="007705B4">
      <w:pPr>
        <w:pStyle w:val="Odstavecseseznamem"/>
        <w:ind w:left="360"/>
        <w:rPr>
          <w:rFonts w:ascii="Times New Roman" w:hAnsi="Times New Roman"/>
          <w:color w:val="auto"/>
          <w:szCs w:val="24"/>
        </w:rPr>
      </w:pPr>
      <w:r w:rsidRPr="00F41255">
        <w:rPr>
          <w:rFonts w:ascii="Times New Roman" w:hAnsi="Times New Roman"/>
          <w:color w:val="auto"/>
          <w:szCs w:val="24"/>
        </w:rPr>
        <w:tab/>
      </w:r>
      <w:r w:rsidRPr="00F41255">
        <w:rPr>
          <w:rFonts w:ascii="Times New Roman" w:hAnsi="Times New Roman"/>
          <w:color w:val="auto"/>
          <w:szCs w:val="24"/>
        </w:rPr>
        <w:tab/>
      </w:r>
      <w:r w:rsidRPr="00F41255">
        <w:rPr>
          <w:rFonts w:ascii="Times New Roman" w:hAnsi="Times New Roman"/>
          <w:color w:val="auto"/>
          <w:szCs w:val="24"/>
        </w:rPr>
        <w:tab/>
        <w:t>Z</w:t>
      </w:r>
      <w:r>
        <w:rPr>
          <w:rFonts w:ascii="Times New Roman" w:hAnsi="Times New Roman"/>
          <w:color w:val="auto"/>
          <w:szCs w:val="24"/>
        </w:rPr>
        <w:t>2</w:t>
      </w:r>
      <w:r w:rsidRPr="00F41255">
        <w:rPr>
          <w:rFonts w:ascii="Times New Roman" w:hAnsi="Times New Roman"/>
          <w:color w:val="auto"/>
          <w:szCs w:val="24"/>
        </w:rPr>
        <w:t xml:space="preserve"> (</w:t>
      </w:r>
      <w:r>
        <w:rPr>
          <w:rFonts w:ascii="Times New Roman" w:hAnsi="Times New Roman"/>
          <w:color w:val="auto"/>
          <w:szCs w:val="24"/>
        </w:rPr>
        <w:t>02</w:t>
      </w:r>
      <w:r w:rsidRPr="00F41255">
        <w:rPr>
          <w:rFonts w:ascii="Times New Roman" w:hAnsi="Times New Roman"/>
          <w:color w:val="auto"/>
          <w:szCs w:val="24"/>
        </w:rPr>
        <w:t>.20</w:t>
      </w:r>
      <w:r>
        <w:rPr>
          <w:rFonts w:ascii="Times New Roman" w:hAnsi="Times New Roman"/>
          <w:color w:val="auto"/>
          <w:szCs w:val="24"/>
        </w:rPr>
        <w:t>13</w:t>
      </w:r>
      <w:r w:rsidRPr="00F41255">
        <w:rPr>
          <w:rFonts w:ascii="Times New Roman" w:hAnsi="Times New Roman"/>
          <w:color w:val="auto"/>
          <w:szCs w:val="24"/>
        </w:rPr>
        <w:t>)</w:t>
      </w:r>
    </w:p>
    <w:p w14:paraId="341DF727" w14:textId="77777777" w:rsidR="003E6324" w:rsidRPr="00F41255" w:rsidRDefault="009604CE" w:rsidP="003E6324">
      <w:pPr>
        <w:pStyle w:val="Odstavecseseznamem"/>
        <w:numPr>
          <w:ilvl w:val="0"/>
          <w:numId w:val="2"/>
        </w:numPr>
        <w:spacing w:before="120"/>
        <w:ind w:left="357" w:hanging="357"/>
        <w:contextualSpacing w:val="0"/>
        <w:jc w:val="both"/>
        <w:rPr>
          <w:rFonts w:ascii="Times New Roman" w:hAnsi="Times New Roman"/>
          <w:color w:val="auto"/>
          <w:szCs w:val="24"/>
        </w:rPr>
      </w:pPr>
      <w:r w:rsidRPr="00F41255">
        <w:rPr>
          <w:rFonts w:ascii="Times New Roman" w:hAnsi="Times New Roman"/>
          <w:color w:val="auto"/>
          <w:szCs w:val="24"/>
        </w:rPr>
        <w:t>ČSN ISO 3864-1</w:t>
      </w:r>
      <w:r w:rsidRPr="00F41255">
        <w:rPr>
          <w:rFonts w:ascii="Times New Roman" w:hAnsi="Times New Roman"/>
          <w:color w:val="auto"/>
          <w:szCs w:val="24"/>
        </w:rPr>
        <w:tab/>
        <w:t>Bezpečnostní barvy a bezpečnostní značky (12.2012)</w:t>
      </w:r>
    </w:p>
    <w:p w14:paraId="7C9F65CF" w14:textId="77777777" w:rsidR="003E6324" w:rsidRPr="00F41255" w:rsidRDefault="009604CE" w:rsidP="003E6324">
      <w:pPr>
        <w:pStyle w:val="Odstavecseseznamem"/>
        <w:numPr>
          <w:ilvl w:val="0"/>
          <w:numId w:val="2"/>
        </w:numPr>
        <w:spacing w:before="120"/>
        <w:ind w:left="357" w:hanging="357"/>
        <w:contextualSpacing w:val="0"/>
        <w:jc w:val="both"/>
        <w:rPr>
          <w:rFonts w:ascii="Times New Roman" w:hAnsi="Times New Roman"/>
          <w:color w:val="auto"/>
          <w:szCs w:val="24"/>
        </w:rPr>
      </w:pPr>
      <w:r w:rsidRPr="00F41255">
        <w:rPr>
          <w:rFonts w:ascii="Times New Roman" w:hAnsi="Times New Roman"/>
          <w:color w:val="auto"/>
          <w:szCs w:val="24"/>
        </w:rPr>
        <w:t>ČSN EN ISO 7010</w:t>
      </w:r>
      <w:r w:rsidRPr="00F41255">
        <w:rPr>
          <w:rFonts w:ascii="Times New Roman" w:hAnsi="Times New Roman"/>
          <w:color w:val="auto"/>
          <w:szCs w:val="24"/>
        </w:rPr>
        <w:tab/>
      </w:r>
      <w:r w:rsidRPr="00F41255">
        <w:rPr>
          <w:rFonts w:ascii="Times New Roman" w:hAnsi="Times New Roman"/>
          <w:color w:val="auto"/>
        </w:rPr>
        <w:t>Grafické značky – Bezpečnostní barvy a bezpečnostní</w:t>
      </w:r>
      <w:r w:rsidRPr="00F41255">
        <w:rPr>
          <w:rFonts w:ascii="Times New Roman" w:hAnsi="Times New Roman"/>
          <w:color w:val="auto"/>
        </w:rPr>
        <w:br/>
      </w:r>
      <w:r w:rsidRPr="00F41255">
        <w:rPr>
          <w:rFonts w:ascii="Times New Roman" w:hAnsi="Times New Roman"/>
          <w:color w:val="auto"/>
        </w:rPr>
        <w:tab/>
      </w:r>
      <w:r w:rsidRPr="00F41255">
        <w:rPr>
          <w:rFonts w:ascii="Times New Roman" w:hAnsi="Times New Roman"/>
          <w:color w:val="auto"/>
        </w:rPr>
        <w:tab/>
      </w:r>
      <w:r w:rsidRPr="00F41255">
        <w:rPr>
          <w:rFonts w:ascii="Times New Roman" w:hAnsi="Times New Roman"/>
          <w:color w:val="auto"/>
        </w:rPr>
        <w:tab/>
      </w:r>
      <w:r w:rsidRPr="00F41255">
        <w:rPr>
          <w:rFonts w:ascii="Times New Roman" w:hAnsi="Times New Roman"/>
          <w:color w:val="auto"/>
        </w:rPr>
        <w:tab/>
        <w:t>značky – Registrované bezpečnostní značky</w:t>
      </w:r>
      <w:r w:rsidRPr="00F41255">
        <w:rPr>
          <w:rFonts w:ascii="Times New Roman" w:hAnsi="Times New Roman"/>
          <w:color w:val="auto"/>
          <w:szCs w:val="24"/>
        </w:rPr>
        <w:t xml:space="preserve">, ve znění změny A7 </w:t>
      </w:r>
      <w:r w:rsidRPr="00F41255">
        <w:rPr>
          <w:rFonts w:ascii="Times New Roman" w:hAnsi="Times New Roman"/>
          <w:color w:val="auto"/>
          <w:szCs w:val="24"/>
        </w:rPr>
        <w:tab/>
      </w:r>
      <w:r w:rsidRPr="00F41255">
        <w:rPr>
          <w:rFonts w:ascii="Times New Roman" w:hAnsi="Times New Roman"/>
          <w:color w:val="auto"/>
          <w:szCs w:val="24"/>
        </w:rPr>
        <w:tab/>
      </w:r>
      <w:r w:rsidRPr="00F41255">
        <w:rPr>
          <w:rFonts w:ascii="Times New Roman" w:hAnsi="Times New Roman"/>
          <w:color w:val="auto"/>
          <w:szCs w:val="24"/>
        </w:rPr>
        <w:tab/>
      </w:r>
      <w:r w:rsidRPr="00F41255">
        <w:rPr>
          <w:rFonts w:ascii="Times New Roman" w:hAnsi="Times New Roman"/>
          <w:color w:val="auto"/>
          <w:szCs w:val="24"/>
        </w:rPr>
        <w:tab/>
        <w:t>(11.2017)</w:t>
      </w:r>
    </w:p>
    <w:p w14:paraId="0A11C3D1" w14:textId="77777777" w:rsidR="003E6324" w:rsidRPr="00F41255" w:rsidRDefault="009604CE" w:rsidP="003E6324">
      <w:pPr>
        <w:pStyle w:val="Odstavecseseznamem"/>
        <w:numPr>
          <w:ilvl w:val="0"/>
          <w:numId w:val="2"/>
        </w:numPr>
        <w:ind w:left="357" w:hanging="357"/>
        <w:contextualSpacing w:val="0"/>
        <w:jc w:val="both"/>
        <w:rPr>
          <w:rFonts w:ascii="Times New Roman" w:hAnsi="Times New Roman"/>
          <w:color w:val="auto"/>
          <w:szCs w:val="24"/>
        </w:rPr>
      </w:pPr>
      <w:r w:rsidRPr="00F41255">
        <w:rPr>
          <w:rFonts w:ascii="Times New Roman" w:hAnsi="Times New Roman"/>
          <w:color w:val="auto"/>
          <w:szCs w:val="24"/>
        </w:rPr>
        <w:t>ČSN EN 1838</w:t>
      </w:r>
      <w:r w:rsidRPr="00F41255">
        <w:rPr>
          <w:rFonts w:ascii="Times New Roman" w:hAnsi="Times New Roman"/>
          <w:color w:val="auto"/>
          <w:szCs w:val="24"/>
        </w:rPr>
        <w:tab/>
      </w:r>
      <w:r w:rsidRPr="00F41255">
        <w:rPr>
          <w:rFonts w:ascii="Times New Roman" w:hAnsi="Times New Roman"/>
          <w:color w:val="auto"/>
          <w:szCs w:val="24"/>
        </w:rPr>
        <w:tab/>
        <w:t>Světlo a osvětlení – nouzové osvětlení (07.2015)</w:t>
      </w:r>
    </w:p>
    <w:p w14:paraId="6691E817" w14:textId="77777777" w:rsidR="003E6324" w:rsidRPr="00F41255" w:rsidRDefault="009604CE" w:rsidP="003E6324">
      <w:pPr>
        <w:pStyle w:val="Odstavecseseznamem"/>
        <w:numPr>
          <w:ilvl w:val="0"/>
          <w:numId w:val="2"/>
        </w:numPr>
        <w:ind w:left="709" w:hanging="709"/>
        <w:contextualSpacing w:val="0"/>
        <w:jc w:val="both"/>
        <w:rPr>
          <w:rFonts w:ascii="Times New Roman" w:hAnsi="Times New Roman"/>
          <w:color w:val="auto"/>
          <w:szCs w:val="24"/>
        </w:rPr>
      </w:pPr>
      <w:r w:rsidRPr="00F41255">
        <w:rPr>
          <w:rFonts w:ascii="Times New Roman" w:hAnsi="Times New Roman"/>
          <w:color w:val="auto"/>
        </w:rPr>
        <w:t xml:space="preserve">Nařízení vlády č. 375/2017 Sb., </w:t>
      </w:r>
      <w:r w:rsidRPr="00F41255">
        <w:rPr>
          <w:rStyle w:val="h1a"/>
          <w:rFonts w:ascii="Times New Roman" w:hAnsi="Times New Roman"/>
          <w:color w:val="auto"/>
        </w:rPr>
        <w:t>o vzhledu, umístění a provedení bezpečnostních značek a značení a zavedení signálů</w:t>
      </w:r>
      <w:r w:rsidRPr="00F41255">
        <w:rPr>
          <w:rFonts w:ascii="Times New Roman" w:hAnsi="Times New Roman"/>
          <w:color w:val="auto"/>
          <w:szCs w:val="24"/>
        </w:rPr>
        <w:t>, ve znění pozdějších předpisů</w:t>
      </w:r>
    </w:p>
    <w:p w14:paraId="068198EB" w14:textId="77777777" w:rsidR="003E6324" w:rsidRPr="00F41255" w:rsidRDefault="009604CE" w:rsidP="003E6324">
      <w:pPr>
        <w:pStyle w:val="Odstavecseseznamem"/>
        <w:numPr>
          <w:ilvl w:val="0"/>
          <w:numId w:val="2"/>
        </w:numPr>
        <w:ind w:left="357" w:hanging="357"/>
        <w:contextualSpacing w:val="0"/>
        <w:jc w:val="both"/>
        <w:rPr>
          <w:rFonts w:ascii="Times New Roman" w:hAnsi="Times New Roman"/>
          <w:color w:val="auto"/>
          <w:szCs w:val="24"/>
        </w:rPr>
      </w:pPr>
      <w:r w:rsidRPr="00F41255">
        <w:rPr>
          <w:rFonts w:ascii="Times New Roman" w:hAnsi="Times New Roman"/>
          <w:color w:val="auto"/>
          <w:szCs w:val="24"/>
        </w:rPr>
        <w:t>Zákon č. 133/1985 Sb., o požární ochraně, ve znění pozdějších předpisů</w:t>
      </w:r>
    </w:p>
    <w:p w14:paraId="34D42BB0" w14:textId="77777777" w:rsidR="003E6324" w:rsidRPr="00F41255" w:rsidRDefault="009604CE" w:rsidP="003E6324">
      <w:pPr>
        <w:pStyle w:val="Odstavecseseznamem"/>
        <w:numPr>
          <w:ilvl w:val="0"/>
          <w:numId w:val="2"/>
        </w:numPr>
        <w:ind w:left="709" w:hanging="709"/>
        <w:contextualSpacing w:val="0"/>
        <w:jc w:val="both"/>
        <w:rPr>
          <w:rFonts w:ascii="Times New Roman" w:hAnsi="Times New Roman"/>
          <w:color w:val="auto"/>
          <w:szCs w:val="24"/>
        </w:rPr>
      </w:pPr>
      <w:r w:rsidRPr="00F41255">
        <w:rPr>
          <w:rFonts w:ascii="Times New Roman" w:hAnsi="Times New Roman"/>
          <w:color w:val="auto"/>
          <w:szCs w:val="24"/>
        </w:rPr>
        <w:t>Zákon č. 183/2006 Sb., o územním plánování a stavebním řádu (stavební zákon),</w:t>
      </w:r>
      <w:r>
        <w:rPr>
          <w:rFonts w:ascii="Times New Roman" w:hAnsi="Times New Roman"/>
          <w:color w:val="auto"/>
          <w:szCs w:val="24"/>
        </w:rPr>
        <w:br/>
      </w:r>
      <w:r w:rsidRPr="00F41255">
        <w:rPr>
          <w:rFonts w:ascii="Times New Roman" w:hAnsi="Times New Roman"/>
          <w:color w:val="auto"/>
          <w:szCs w:val="24"/>
        </w:rPr>
        <w:t>ve znění pozdějších předpisů</w:t>
      </w:r>
    </w:p>
    <w:p w14:paraId="4A9CE13E" w14:textId="77777777" w:rsidR="003E6324" w:rsidRPr="00F41255" w:rsidRDefault="009604CE" w:rsidP="003E6324">
      <w:pPr>
        <w:pStyle w:val="Odstavecseseznamem"/>
        <w:numPr>
          <w:ilvl w:val="0"/>
          <w:numId w:val="2"/>
        </w:numPr>
        <w:jc w:val="both"/>
        <w:rPr>
          <w:rFonts w:ascii="Times New Roman" w:hAnsi="Times New Roman"/>
          <w:color w:val="auto"/>
          <w:szCs w:val="24"/>
        </w:rPr>
      </w:pPr>
      <w:r w:rsidRPr="00F41255">
        <w:rPr>
          <w:rFonts w:ascii="Times New Roman" w:hAnsi="Times New Roman"/>
          <w:color w:val="auto"/>
          <w:szCs w:val="24"/>
        </w:rPr>
        <w:t xml:space="preserve">Vyhláška č. 246/2001 Sb., o stanovení podmínek požární bezpečnosti a výkonu </w:t>
      </w:r>
      <w:r w:rsidRPr="00F41255">
        <w:rPr>
          <w:rFonts w:ascii="Times New Roman" w:hAnsi="Times New Roman"/>
          <w:color w:val="auto"/>
          <w:szCs w:val="24"/>
        </w:rPr>
        <w:tab/>
        <w:t>státního odborného dozoru, ve znění pozdějších předpisů</w:t>
      </w:r>
    </w:p>
    <w:p w14:paraId="7F79ED59" w14:textId="77777777" w:rsidR="003E6324" w:rsidRPr="00F41255" w:rsidRDefault="009604CE" w:rsidP="003E6324">
      <w:pPr>
        <w:pStyle w:val="Odstavecseseznamem"/>
        <w:numPr>
          <w:ilvl w:val="0"/>
          <w:numId w:val="2"/>
        </w:numPr>
        <w:ind w:left="709" w:hanging="709"/>
        <w:jc w:val="both"/>
        <w:rPr>
          <w:rFonts w:ascii="Times New Roman" w:hAnsi="Times New Roman"/>
          <w:color w:val="auto"/>
          <w:szCs w:val="24"/>
        </w:rPr>
      </w:pPr>
      <w:r w:rsidRPr="00F41255">
        <w:rPr>
          <w:rFonts w:ascii="Times New Roman" w:hAnsi="Times New Roman"/>
          <w:color w:val="auto"/>
          <w:szCs w:val="24"/>
        </w:rPr>
        <w:t>Vyhláška č. 23/2008 Sb., o technických podmínkách požární ochrany staveb, ve znění pozdějších předpisů</w:t>
      </w:r>
    </w:p>
    <w:p w14:paraId="039369C5" w14:textId="47E38D4C" w:rsidR="00E945C0" w:rsidRPr="00D7664E" w:rsidRDefault="009604CE" w:rsidP="007705B4">
      <w:pPr>
        <w:pStyle w:val="Odstavecseseznamem"/>
        <w:numPr>
          <w:ilvl w:val="0"/>
          <w:numId w:val="2"/>
        </w:numPr>
        <w:spacing w:after="360"/>
        <w:ind w:left="709" w:hanging="709"/>
        <w:jc w:val="both"/>
        <w:rPr>
          <w:rFonts w:ascii="Times New Roman" w:hAnsi="Times New Roman"/>
          <w:color w:val="auto"/>
        </w:rPr>
      </w:pPr>
      <w:r w:rsidRPr="00EA788A">
        <w:rPr>
          <w:rFonts w:ascii="Times New Roman" w:hAnsi="Times New Roman"/>
          <w:color w:val="auto"/>
        </w:rPr>
        <w:t xml:space="preserve">Projektová dokumentace </w:t>
      </w:r>
      <w:r w:rsidR="007705B4">
        <w:rPr>
          <w:rFonts w:ascii="Times New Roman" w:hAnsi="Times New Roman"/>
          <w:color w:val="auto"/>
        </w:rPr>
        <w:t>změny užívání místnosti</w:t>
      </w:r>
      <w:r w:rsidR="001D55C5">
        <w:rPr>
          <w:rFonts w:ascii="Times New Roman" w:hAnsi="Times New Roman"/>
          <w:color w:val="auto"/>
        </w:rPr>
        <w:t xml:space="preserve"> </w:t>
      </w:r>
      <w:r w:rsidRPr="00EA788A">
        <w:rPr>
          <w:rFonts w:ascii="Times New Roman" w:hAnsi="Times New Roman"/>
          <w:color w:val="auto"/>
        </w:rPr>
        <w:t xml:space="preserve">zpracovaná </w:t>
      </w:r>
      <w:r w:rsidR="00D7664E" w:rsidRPr="00D7664E">
        <w:rPr>
          <w:rFonts w:ascii="Times New Roman" w:hAnsi="Times New Roman"/>
        </w:rPr>
        <w:t>zpracovaná Ing. Arch. Magdaléna Mlejnková , 0</w:t>
      </w:r>
      <w:r w:rsidR="000D30C0">
        <w:rPr>
          <w:rFonts w:ascii="Times New Roman" w:hAnsi="Times New Roman"/>
        </w:rPr>
        <w:t>5</w:t>
      </w:r>
      <w:r w:rsidR="00D7664E" w:rsidRPr="00D7664E">
        <w:rPr>
          <w:rFonts w:ascii="Times New Roman" w:hAnsi="Times New Roman"/>
        </w:rPr>
        <w:t>/2024</w:t>
      </w:r>
    </w:p>
    <w:p w14:paraId="36FE2A9A" w14:textId="69801710" w:rsidR="00DF3576" w:rsidRDefault="009604CE" w:rsidP="00DF3576">
      <w:pPr>
        <w:pStyle w:val="Odstavecseseznamem"/>
        <w:numPr>
          <w:ilvl w:val="0"/>
          <w:numId w:val="2"/>
        </w:numPr>
        <w:spacing w:after="360"/>
        <w:jc w:val="both"/>
        <w:rPr>
          <w:rFonts w:ascii="Times New Roman" w:hAnsi="Times New Roman"/>
          <w:color w:val="auto"/>
        </w:rPr>
      </w:pPr>
      <w:r w:rsidRPr="00226893">
        <w:rPr>
          <w:rFonts w:ascii="Times New Roman" w:hAnsi="Times New Roman"/>
          <w:color w:val="auto"/>
        </w:rPr>
        <w:t xml:space="preserve">Požárně bezpečnostní řešení </w:t>
      </w:r>
      <w:r>
        <w:rPr>
          <w:rFonts w:ascii="Times New Roman" w:hAnsi="Times New Roman"/>
          <w:color w:val="auto"/>
        </w:rPr>
        <w:t>´´</w:t>
      </w:r>
      <w:r w:rsidRPr="00DF3576">
        <w:rPr>
          <w:rFonts w:ascii="Times New Roman" w:hAnsi="Times New Roman"/>
          <w:color w:val="auto"/>
        </w:rPr>
        <w:t xml:space="preserve"> </w:t>
      </w:r>
      <w:r w:rsidR="000D30C0">
        <w:rPr>
          <w:rFonts w:ascii="Times New Roman" w:hAnsi="Times New Roman"/>
          <w:color w:val="auto"/>
        </w:rPr>
        <w:t xml:space="preserve">Rekonstrukce pobočky </w:t>
      </w:r>
      <w:r>
        <w:rPr>
          <w:rFonts w:ascii="Times New Roman" w:hAnsi="Times New Roman"/>
          <w:color w:val="auto"/>
        </w:rPr>
        <w:t>Raiffeisenbank a.s´´</w:t>
      </w:r>
      <w:r w:rsidR="0038564C">
        <w:rPr>
          <w:rFonts w:ascii="Times New Roman" w:hAnsi="Times New Roman"/>
          <w:color w:val="auto"/>
        </w:rPr>
        <w:t>,</w:t>
      </w:r>
      <w:r w:rsidRPr="00226893">
        <w:rPr>
          <w:rFonts w:ascii="Times New Roman" w:hAnsi="Times New Roman"/>
          <w:color w:val="auto"/>
        </w:rPr>
        <w:t xml:space="preserve"> zpracované Ing. </w:t>
      </w:r>
      <w:r w:rsidR="000D30C0">
        <w:rPr>
          <w:rFonts w:ascii="Times New Roman" w:hAnsi="Times New Roman"/>
          <w:color w:val="auto"/>
        </w:rPr>
        <w:t>Sedlecký</w:t>
      </w:r>
      <w:r>
        <w:rPr>
          <w:rFonts w:ascii="Times New Roman" w:hAnsi="Times New Roman"/>
          <w:color w:val="auto"/>
        </w:rPr>
        <w:t>, 0</w:t>
      </w:r>
      <w:r w:rsidR="000D30C0">
        <w:rPr>
          <w:rFonts w:ascii="Times New Roman" w:hAnsi="Times New Roman"/>
          <w:color w:val="auto"/>
        </w:rPr>
        <w:t>9</w:t>
      </w:r>
      <w:r>
        <w:rPr>
          <w:rFonts w:ascii="Times New Roman" w:hAnsi="Times New Roman"/>
          <w:color w:val="auto"/>
        </w:rPr>
        <w:t>/20</w:t>
      </w:r>
      <w:r w:rsidR="000D30C0">
        <w:rPr>
          <w:rFonts w:ascii="Times New Roman" w:hAnsi="Times New Roman"/>
          <w:color w:val="auto"/>
        </w:rPr>
        <w:t>09</w:t>
      </w:r>
      <w:r w:rsidRPr="00226893">
        <w:rPr>
          <w:rFonts w:ascii="Times New Roman" w:hAnsi="Times New Roman"/>
          <w:color w:val="auto"/>
        </w:rPr>
        <w:t>.</w:t>
      </w:r>
    </w:p>
    <w:p w14:paraId="4FB52572" w14:textId="3D1E0E76" w:rsidR="00DF3576" w:rsidRPr="00226893" w:rsidRDefault="009604CE" w:rsidP="00DF3576">
      <w:pPr>
        <w:pStyle w:val="Odstavecseseznamem"/>
        <w:numPr>
          <w:ilvl w:val="0"/>
          <w:numId w:val="2"/>
        </w:numPr>
        <w:spacing w:after="360"/>
        <w:jc w:val="both"/>
        <w:rPr>
          <w:rFonts w:ascii="Times New Roman" w:hAnsi="Times New Roman"/>
          <w:color w:val="auto"/>
        </w:rPr>
      </w:pPr>
      <w:r w:rsidRPr="00226893">
        <w:rPr>
          <w:rFonts w:ascii="Times New Roman" w:hAnsi="Times New Roman"/>
          <w:color w:val="auto"/>
        </w:rPr>
        <w:t xml:space="preserve">Požárně bezpečnostní řešení </w:t>
      </w:r>
      <w:r>
        <w:rPr>
          <w:rFonts w:ascii="Times New Roman" w:hAnsi="Times New Roman"/>
          <w:color w:val="auto"/>
        </w:rPr>
        <w:t>´´</w:t>
      </w:r>
      <w:r w:rsidR="000D30C0">
        <w:rPr>
          <w:rFonts w:ascii="Times New Roman" w:hAnsi="Times New Roman"/>
          <w:color w:val="auto"/>
        </w:rPr>
        <w:t>Stavební úpravy KC</w:t>
      </w:r>
      <w:r>
        <w:rPr>
          <w:rFonts w:ascii="Times New Roman" w:hAnsi="Times New Roman"/>
          <w:color w:val="auto"/>
        </w:rPr>
        <w:t xml:space="preserve"> Raiffeisenbank </w:t>
      </w:r>
      <w:r w:rsidR="000D30C0">
        <w:rPr>
          <w:rFonts w:ascii="Times New Roman" w:hAnsi="Times New Roman"/>
          <w:color w:val="auto"/>
        </w:rPr>
        <w:t>a.s.</w:t>
      </w:r>
      <w:r>
        <w:rPr>
          <w:rFonts w:ascii="Times New Roman" w:hAnsi="Times New Roman"/>
          <w:color w:val="auto"/>
        </w:rPr>
        <w:t xml:space="preserve"> </w:t>
      </w:r>
      <w:r w:rsidR="0038564C">
        <w:rPr>
          <w:rFonts w:ascii="Times New Roman" w:hAnsi="Times New Roman"/>
          <w:color w:val="auto"/>
        </w:rPr>
        <w:t>´´</w:t>
      </w:r>
      <w:r w:rsidRPr="00226893">
        <w:rPr>
          <w:rFonts w:ascii="Times New Roman" w:hAnsi="Times New Roman"/>
          <w:color w:val="auto"/>
        </w:rPr>
        <w:t xml:space="preserve"> zpracované Ing. </w:t>
      </w:r>
      <w:r w:rsidR="000D30C0">
        <w:rPr>
          <w:rFonts w:ascii="Times New Roman" w:hAnsi="Times New Roman"/>
          <w:color w:val="auto"/>
        </w:rPr>
        <w:t>Marta Blahová</w:t>
      </w:r>
      <w:r>
        <w:rPr>
          <w:rFonts w:ascii="Times New Roman" w:hAnsi="Times New Roman"/>
          <w:color w:val="auto"/>
        </w:rPr>
        <w:t xml:space="preserve">, </w:t>
      </w:r>
      <w:r w:rsidR="0038564C">
        <w:rPr>
          <w:rFonts w:ascii="Times New Roman" w:hAnsi="Times New Roman"/>
          <w:color w:val="auto"/>
        </w:rPr>
        <w:t>0</w:t>
      </w:r>
      <w:r w:rsidR="000D30C0">
        <w:rPr>
          <w:rFonts w:ascii="Times New Roman" w:hAnsi="Times New Roman"/>
          <w:color w:val="auto"/>
        </w:rPr>
        <w:t>9</w:t>
      </w:r>
      <w:r>
        <w:rPr>
          <w:rFonts w:ascii="Times New Roman" w:hAnsi="Times New Roman"/>
          <w:color w:val="auto"/>
        </w:rPr>
        <w:t>/20</w:t>
      </w:r>
      <w:r w:rsidR="0038564C">
        <w:rPr>
          <w:rFonts w:ascii="Times New Roman" w:hAnsi="Times New Roman"/>
          <w:color w:val="auto"/>
        </w:rPr>
        <w:t>1</w:t>
      </w:r>
      <w:r w:rsidR="000D30C0">
        <w:rPr>
          <w:rFonts w:ascii="Times New Roman" w:hAnsi="Times New Roman"/>
          <w:color w:val="auto"/>
        </w:rPr>
        <w:t>2</w:t>
      </w:r>
      <w:r w:rsidRPr="00226893">
        <w:rPr>
          <w:rFonts w:ascii="Times New Roman" w:hAnsi="Times New Roman"/>
          <w:color w:val="auto"/>
        </w:rPr>
        <w:t>.</w:t>
      </w:r>
    </w:p>
    <w:p w14:paraId="736A5589" w14:textId="63A7F282" w:rsidR="00DF3576" w:rsidRPr="0038564C" w:rsidRDefault="009604CE" w:rsidP="0038564C">
      <w:pPr>
        <w:pStyle w:val="Odstavecseseznamem"/>
        <w:numPr>
          <w:ilvl w:val="0"/>
          <w:numId w:val="2"/>
        </w:numPr>
        <w:spacing w:after="360"/>
        <w:jc w:val="both"/>
        <w:rPr>
          <w:rFonts w:ascii="Times New Roman" w:hAnsi="Times New Roman"/>
          <w:color w:val="auto"/>
        </w:rPr>
      </w:pPr>
      <w:r w:rsidRPr="00226893">
        <w:rPr>
          <w:rFonts w:ascii="Times New Roman" w:hAnsi="Times New Roman"/>
          <w:color w:val="auto"/>
        </w:rPr>
        <w:t xml:space="preserve">Požárně bezpečnostní řešení </w:t>
      </w:r>
      <w:r>
        <w:rPr>
          <w:rFonts w:ascii="Times New Roman" w:hAnsi="Times New Roman"/>
          <w:color w:val="auto"/>
        </w:rPr>
        <w:t>´´</w:t>
      </w:r>
      <w:r w:rsidR="000D30C0" w:rsidRPr="000D30C0">
        <w:rPr>
          <w:rFonts w:ascii="Times New Roman" w:hAnsi="Times New Roman"/>
          <w:color w:val="auto"/>
        </w:rPr>
        <w:t>Rekonstrukce pobočky Raiffeisenbank Karlovy Vary, Krále Jiřího</w:t>
      </w:r>
      <w:r w:rsidR="0038564C">
        <w:rPr>
          <w:rFonts w:ascii="Times New Roman" w:hAnsi="Times New Roman"/>
          <w:color w:val="auto"/>
        </w:rPr>
        <w:t>´´,</w:t>
      </w:r>
      <w:r w:rsidRPr="00226893">
        <w:rPr>
          <w:rFonts w:ascii="Times New Roman" w:hAnsi="Times New Roman"/>
          <w:color w:val="auto"/>
        </w:rPr>
        <w:t xml:space="preserve"> zpracované Ing. </w:t>
      </w:r>
      <w:r w:rsidR="0038564C">
        <w:rPr>
          <w:rFonts w:ascii="Times New Roman" w:hAnsi="Times New Roman"/>
          <w:color w:val="auto"/>
        </w:rPr>
        <w:t>Jan Tománek</w:t>
      </w:r>
      <w:r>
        <w:rPr>
          <w:rFonts w:ascii="Times New Roman" w:hAnsi="Times New Roman"/>
          <w:color w:val="auto"/>
        </w:rPr>
        <w:t xml:space="preserve">, </w:t>
      </w:r>
      <w:r w:rsidR="000D30C0">
        <w:rPr>
          <w:rFonts w:ascii="Times New Roman" w:hAnsi="Times New Roman"/>
          <w:color w:val="auto"/>
        </w:rPr>
        <w:t>04</w:t>
      </w:r>
      <w:r>
        <w:rPr>
          <w:rFonts w:ascii="Times New Roman" w:hAnsi="Times New Roman"/>
          <w:color w:val="auto"/>
        </w:rPr>
        <w:t>/20</w:t>
      </w:r>
      <w:r w:rsidR="000D30C0">
        <w:rPr>
          <w:rFonts w:ascii="Times New Roman" w:hAnsi="Times New Roman"/>
          <w:color w:val="auto"/>
        </w:rPr>
        <w:t>17</w:t>
      </w:r>
      <w:r w:rsidRPr="00226893">
        <w:rPr>
          <w:rFonts w:ascii="Times New Roman" w:hAnsi="Times New Roman"/>
          <w:color w:val="auto"/>
        </w:rPr>
        <w:t>.</w:t>
      </w:r>
    </w:p>
    <w:p w14:paraId="516061C7" w14:textId="77777777" w:rsidR="00E945C0" w:rsidRPr="00D7664E" w:rsidRDefault="009604CE" w:rsidP="00930B5D">
      <w:pPr>
        <w:pStyle w:val="Odstavecseseznamem"/>
        <w:numPr>
          <w:ilvl w:val="0"/>
          <w:numId w:val="2"/>
        </w:numPr>
        <w:spacing w:after="360"/>
        <w:ind w:left="709" w:hanging="709"/>
        <w:jc w:val="both"/>
        <w:rPr>
          <w:rFonts w:ascii="Times New Roman" w:hAnsi="Times New Roman"/>
        </w:rPr>
      </w:pPr>
      <w:r w:rsidRPr="00D7664E">
        <w:rPr>
          <w:rFonts w:ascii="Times New Roman" w:hAnsi="Times New Roman"/>
        </w:rPr>
        <w:br w:type="page"/>
      </w:r>
    </w:p>
    <w:p w14:paraId="7993F69E" w14:textId="77777777" w:rsidR="00323485" w:rsidRPr="00563833" w:rsidRDefault="009604CE" w:rsidP="00323485">
      <w:pPr>
        <w:pStyle w:val="Nadpis1"/>
      </w:pPr>
      <w:bookmarkStart w:id="1" w:name="_Toc351956866"/>
      <w:bookmarkStart w:id="2" w:name="_Toc165831759"/>
      <w:r w:rsidRPr="00563833">
        <w:lastRenderedPageBreak/>
        <w:t>SEZNAM ZKRATEK</w:t>
      </w:r>
      <w:bookmarkEnd w:id="1"/>
      <w:bookmarkEnd w:id="2"/>
    </w:p>
    <w:p w14:paraId="3C68F7BF" w14:textId="77777777" w:rsidR="00CB4699" w:rsidRDefault="009604CE" w:rsidP="00CB4699">
      <w:pPr>
        <w:spacing w:after="360"/>
        <w:jc w:val="both"/>
      </w:pPr>
      <w:r w:rsidRPr="00870F3F">
        <w:t>ČSN = česká technická norma,</w:t>
      </w:r>
      <w:r w:rsidR="00563833">
        <w:t xml:space="preserve"> EPS = elektrická požární signalizace, HZS = hasičský záchranný sbor, </w:t>
      </w:r>
      <w:r w:rsidRPr="00870F3F">
        <w:t>CHÚC = chráněná úniková cesta, NP = nadzemní podlaží,</w:t>
      </w:r>
      <w:r w:rsidR="00563833">
        <w:t xml:space="preserve"> </w:t>
      </w:r>
      <w:r w:rsidRPr="00870F3F">
        <w:t xml:space="preserve">PBŘ = požárně bezpečnostní řešení, PHP = přenosný hasicí přístroj, PP = podzemní podlaží, PÚ = požární úsek, </w:t>
      </w:r>
      <w:r w:rsidR="00563833">
        <w:t xml:space="preserve">TZB = technická zařízení budov, </w:t>
      </w:r>
      <w:r w:rsidRPr="00870F3F">
        <w:t>VZT = vzduchotechnika</w:t>
      </w:r>
    </w:p>
    <w:p w14:paraId="21F5270A" w14:textId="77777777" w:rsidR="001D55C5" w:rsidRPr="00A51B87" w:rsidRDefault="009604CE" w:rsidP="001D55C5">
      <w:pPr>
        <w:pStyle w:val="Nadpis1"/>
        <w:spacing w:after="0"/>
      </w:pPr>
      <w:bookmarkStart w:id="3" w:name="_Toc21894157"/>
      <w:bookmarkStart w:id="4" w:name="_Toc165831760"/>
      <w:r w:rsidRPr="00A51B87">
        <w:t>ÚVOD</w:t>
      </w:r>
      <w:bookmarkEnd w:id="3"/>
      <w:bookmarkEnd w:id="4"/>
    </w:p>
    <w:p w14:paraId="54E77D81" w14:textId="77777777" w:rsidR="001D55C5" w:rsidRDefault="009604CE" w:rsidP="00803854">
      <w:pPr>
        <w:pStyle w:val="Normbezodsazen"/>
        <w:spacing w:before="0" w:line="240" w:lineRule="auto"/>
      </w:pPr>
      <w:r w:rsidRPr="00935FE1">
        <w:t>Toto požárně bezpečnostní řešení je zpracováno v rozsahu požadavku dle §41 odst. 2</w:t>
      </w:r>
      <w:r>
        <w:t xml:space="preserve"> </w:t>
      </w:r>
      <w:r w:rsidRPr="00935FE1">
        <w:t>vyhlášky č. 246/2001 Sb. o požární prevenci, v souladu s vyhláškou 23/2008 Sb. o</w:t>
      </w:r>
      <w:r>
        <w:t xml:space="preserve"> </w:t>
      </w:r>
      <w:r w:rsidRPr="00935FE1">
        <w:t>technických podmínkách požární ochrany staveb a dle technických předpisů a norem s</w:t>
      </w:r>
      <w:r>
        <w:t> </w:t>
      </w:r>
      <w:r w:rsidRPr="00935FE1">
        <w:t>nimi</w:t>
      </w:r>
      <w:r>
        <w:t xml:space="preserve"> </w:t>
      </w:r>
      <w:r w:rsidRPr="00935FE1">
        <w:t xml:space="preserve">souvisejících. </w:t>
      </w:r>
    </w:p>
    <w:p w14:paraId="4FC693A8" w14:textId="77777777" w:rsidR="00323485" w:rsidRPr="00E85E3A" w:rsidRDefault="009604CE" w:rsidP="00323485">
      <w:pPr>
        <w:pStyle w:val="Nadpis1"/>
        <w:rPr>
          <w:sz w:val="24"/>
          <w:szCs w:val="24"/>
        </w:rPr>
      </w:pPr>
      <w:bookmarkStart w:id="5" w:name="_Toc165831761"/>
      <w:r>
        <w:rPr>
          <w:szCs w:val="28"/>
        </w:rPr>
        <w:t>STRUČNÝ POPIS STAVBY</w:t>
      </w:r>
      <w:bookmarkEnd w:id="5"/>
    </w:p>
    <w:p w14:paraId="101B6D0D" w14:textId="77777777" w:rsidR="00B17F0B" w:rsidRDefault="009604CE" w:rsidP="00B17F0B">
      <w:pPr>
        <w:pStyle w:val="Nadpis2"/>
        <w:pBdr>
          <w:top w:val="none" w:sz="0" w:space="0" w:color="auto"/>
        </w:pBdr>
        <w:tabs>
          <w:tab w:val="clear" w:pos="0"/>
        </w:tabs>
        <w:ind w:left="709" w:hanging="709"/>
      </w:pPr>
      <w:bookmarkStart w:id="6" w:name="_Toc165831762"/>
      <w:r>
        <w:t>Popis objektu</w:t>
      </w:r>
      <w:bookmarkEnd w:id="6"/>
    </w:p>
    <w:p w14:paraId="0733371C" w14:textId="24266D4B" w:rsidR="00803854" w:rsidRPr="00781D6C" w:rsidRDefault="009604CE" w:rsidP="00D7664E">
      <w:pPr>
        <w:spacing w:after="120"/>
        <w:jc w:val="both"/>
      </w:pPr>
      <w:r>
        <w:t xml:space="preserve">Předmětem tohoto požárně bezpečnostního řešení je posouzení stavebních úprav v stávající pobočky Raiffeisenbank </w:t>
      </w:r>
      <w:r w:rsidR="000D30C0" w:rsidRPr="000D30C0">
        <w:t>Karlovy Vary</w:t>
      </w:r>
      <w:r w:rsidR="00597FBA">
        <w:t xml:space="preserve">, </w:t>
      </w:r>
      <w:r w:rsidR="000D30C0">
        <w:t>Krále Jiřího 909/39,</w:t>
      </w:r>
      <w:r w:rsidR="00597FBA">
        <w:t xml:space="preserve"> ve 1.NP a </w:t>
      </w:r>
      <w:r w:rsidR="000D30C0">
        <w:t>2.N</w:t>
      </w:r>
      <w:r w:rsidR="00597FBA">
        <w:t xml:space="preserve">P </w:t>
      </w:r>
      <w:r>
        <w:t>z hlediska požární bezpečnosti staveb.</w:t>
      </w:r>
      <w:r w:rsidR="000D30C0" w:rsidRPr="000D30C0">
        <w:t xml:space="preserve"> Stavební úpravy jsou navrženy ve stávajícím objektu postaveném před platností kodexu norem požární bezpečnosti staveb.</w:t>
      </w:r>
    </w:p>
    <w:p w14:paraId="0763DA13" w14:textId="71380C0A" w:rsidR="008A1367" w:rsidRDefault="008A1367" w:rsidP="008C1E35">
      <w:pPr>
        <w:spacing w:after="120"/>
        <w:jc w:val="both"/>
      </w:pPr>
      <w:r>
        <w:t>Stavební úpravy jsou navrženy ve stávající bankovní pobočce. Pobočka je umístěna v 1.NP až 3.NP stávajícího pětipodlažního objektu, pobočka tvoří jeden požární úsek.</w:t>
      </w:r>
    </w:p>
    <w:p w14:paraId="1B9D907C" w14:textId="0DFDAB7F" w:rsidR="002C1975" w:rsidRDefault="008A1367" w:rsidP="008C1E35">
      <w:pPr>
        <w:spacing w:after="120"/>
        <w:jc w:val="both"/>
      </w:pPr>
      <w:r>
        <w:t>Svislé nosné i obvodové konstrukce nadzemních podlaží jsou zděné proměnné tloušťky. Vodorovné konstrukce jsou železobetonové. Stavebními úpravami nebude dále zasahováno do nosných konstrukcí objektu.</w:t>
      </w:r>
    </w:p>
    <w:p w14:paraId="06BCB154" w14:textId="1A4D40BB" w:rsidR="00803854" w:rsidRDefault="009604CE" w:rsidP="00141705">
      <w:pPr>
        <w:spacing w:after="120"/>
        <w:jc w:val="both"/>
      </w:pPr>
      <w:r>
        <w:t>S</w:t>
      </w:r>
      <w:r w:rsidR="00D7664E">
        <w:t>tavební úpravy Raiffeisenbank v</w:t>
      </w:r>
      <w:r w:rsidR="000D30C0">
        <w:t> 1.NP a 2.NP</w:t>
      </w:r>
      <w:r w:rsidR="00D7664E">
        <w:t xml:space="preserve"> budou dále posuzovány dle § 31 vyhlášky č. 23/2008 Sb., o technických podmínkách požární ochrany staveb, ve znění pozdějších předpisů a dle ČSN 73 0834</w:t>
      </w:r>
      <w:r>
        <w:t>.</w:t>
      </w:r>
    </w:p>
    <w:p w14:paraId="0FEB938C" w14:textId="77777777" w:rsidR="00B17F0B" w:rsidRPr="00B63884" w:rsidRDefault="009604CE" w:rsidP="00B17F0B">
      <w:pPr>
        <w:pStyle w:val="Nadpis2"/>
        <w:pBdr>
          <w:top w:val="none" w:sz="0" w:space="0" w:color="auto"/>
        </w:pBdr>
        <w:tabs>
          <w:tab w:val="clear" w:pos="0"/>
        </w:tabs>
        <w:ind w:left="709" w:hanging="709"/>
      </w:pPr>
      <w:bookmarkStart w:id="7" w:name="_Toc21894160"/>
      <w:bookmarkStart w:id="8" w:name="_Toc165831763"/>
      <w:r>
        <w:t>Požárně technické údaje o stavbě</w:t>
      </w:r>
      <w:bookmarkEnd w:id="7"/>
      <w:bookmarkEnd w:id="8"/>
    </w:p>
    <w:p w14:paraId="5B8825E5" w14:textId="208A3546" w:rsidR="00B17F0B" w:rsidRPr="00D7664E" w:rsidRDefault="009604CE" w:rsidP="00B17F0B">
      <w:pPr>
        <w:pStyle w:val="Zkladntext"/>
        <w:keepLines/>
        <w:numPr>
          <w:ilvl w:val="0"/>
          <w:numId w:val="11"/>
        </w:numPr>
        <w:jc w:val="both"/>
      </w:pPr>
      <w:r w:rsidRPr="001B05D6">
        <w:t>počet nadzemních podlaží:</w:t>
      </w:r>
      <w:r w:rsidRPr="001B05D6">
        <w:tab/>
      </w:r>
      <w:r w:rsidRPr="001B05D6">
        <w:tab/>
      </w:r>
      <w:r w:rsidRPr="001B05D6">
        <w:tab/>
      </w:r>
      <w:r w:rsidRPr="001B05D6">
        <w:tab/>
      </w:r>
      <w:r w:rsidR="008C1E35">
        <w:rPr>
          <w:b/>
        </w:rPr>
        <w:t>5</w:t>
      </w:r>
    </w:p>
    <w:p w14:paraId="11229956" w14:textId="5CCF49C1" w:rsidR="00D7664E" w:rsidRPr="001B05D6" w:rsidRDefault="009604CE" w:rsidP="00D7664E">
      <w:pPr>
        <w:pStyle w:val="Zkladntext"/>
        <w:keepLines/>
        <w:numPr>
          <w:ilvl w:val="0"/>
          <w:numId w:val="11"/>
        </w:numPr>
        <w:jc w:val="both"/>
      </w:pPr>
      <w:r w:rsidRPr="001B05D6">
        <w:t xml:space="preserve">počet </w:t>
      </w:r>
      <w:r>
        <w:t>pod</w:t>
      </w:r>
      <w:r w:rsidRPr="001B05D6">
        <w:t>zemních podlaží:</w:t>
      </w:r>
      <w:r w:rsidRPr="001B05D6">
        <w:tab/>
      </w:r>
      <w:r w:rsidRPr="001B05D6">
        <w:tab/>
      </w:r>
      <w:r w:rsidRPr="001B05D6">
        <w:tab/>
      </w:r>
      <w:r w:rsidRPr="001B05D6">
        <w:tab/>
      </w:r>
      <w:r w:rsidR="003B62CD">
        <w:rPr>
          <w:b/>
        </w:rPr>
        <w:t>1</w:t>
      </w:r>
    </w:p>
    <w:p w14:paraId="7761353B" w14:textId="773C74DF" w:rsidR="00B17F0B" w:rsidRPr="005726B0" w:rsidRDefault="009604CE" w:rsidP="00B17F0B">
      <w:pPr>
        <w:pStyle w:val="Zkladntext"/>
        <w:keepLines/>
        <w:numPr>
          <w:ilvl w:val="0"/>
          <w:numId w:val="11"/>
        </w:numPr>
        <w:jc w:val="both"/>
      </w:pPr>
      <w:r w:rsidRPr="005726B0">
        <w:t>požární výška objektu:</w:t>
      </w:r>
      <w:r w:rsidRPr="005726B0">
        <w:tab/>
      </w:r>
      <w:r w:rsidRPr="005726B0">
        <w:tab/>
      </w:r>
      <w:r w:rsidRPr="005726B0">
        <w:tab/>
      </w:r>
      <w:r w:rsidRPr="005726B0">
        <w:tab/>
      </w:r>
      <w:r w:rsidR="002C1975">
        <w:rPr>
          <w:b/>
        </w:rPr>
        <w:t>1</w:t>
      </w:r>
      <w:r w:rsidR="008C1E35">
        <w:rPr>
          <w:b/>
        </w:rPr>
        <w:t>4</w:t>
      </w:r>
      <w:r w:rsidR="002D4499">
        <w:rPr>
          <w:b/>
        </w:rPr>
        <w:t>,0</w:t>
      </w:r>
      <w:r w:rsidRPr="005726B0">
        <w:rPr>
          <w:b/>
        </w:rPr>
        <w:t xml:space="preserve"> m</w:t>
      </w:r>
    </w:p>
    <w:p w14:paraId="67441317" w14:textId="00C38437" w:rsidR="00B17F0B" w:rsidRPr="00E92348" w:rsidRDefault="009604CE" w:rsidP="00B17F0B">
      <w:pPr>
        <w:pStyle w:val="Zkladntext"/>
        <w:keepLines/>
        <w:numPr>
          <w:ilvl w:val="0"/>
          <w:numId w:val="11"/>
        </w:numPr>
        <w:jc w:val="both"/>
      </w:pPr>
      <w:r w:rsidRPr="00E92348">
        <w:t>konstrukční systém:</w:t>
      </w:r>
      <w:r w:rsidRPr="00E92348">
        <w:tab/>
      </w:r>
      <w:r w:rsidRPr="00E92348">
        <w:tab/>
      </w:r>
      <w:r w:rsidRPr="00E92348">
        <w:tab/>
      </w:r>
      <w:r w:rsidRPr="00E92348">
        <w:tab/>
      </w:r>
      <w:r w:rsidRPr="00E92348">
        <w:tab/>
      </w:r>
      <w:r w:rsidR="008C1E35">
        <w:rPr>
          <w:b/>
        </w:rPr>
        <w:t>Nehořlavý</w:t>
      </w:r>
    </w:p>
    <w:p w14:paraId="399D4088" w14:textId="3340116C" w:rsidR="00B17F0B" w:rsidRPr="0073522D" w:rsidRDefault="009604CE" w:rsidP="00B17F0B">
      <w:pPr>
        <w:pStyle w:val="Zkladntext"/>
        <w:keepLines/>
        <w:numPr>
          <w:ilvl w:val="0"/>
          <w:numId w:val="11"/>
        </w:numPr>
        <w:jc w:val="both"/>
      </w:pPr>
      <w:r w:rsidRPr="00E92348">
        <w:t>druh konstrukcí z požárního hlediska:</w:t>
      </w:r>
      <w:r w:rsidRPr="00E92348">
        <w:tab/>
      </w:r>
      <w:r w:rsidRPr="00E92348">
        <w:tab/>
      </w:r>
      <w:r>
        <w:rPr>
          <w:b/>
        </w:rPr>
        <w:t>DP1</w:t>
      </w:r>
    </w:p>
    <w:p w14:paraId="60C17FD0" w14:textId="77777777" w:rsidR="0073522D" w:rsidRDefault="0073522D" w:rsidP="0073522D">
      <w:pPr>
        <w:pStyle w:val="Zkladntext"/>
        <w:keepLines/>
        <w:jc w:val="both"/>
        <w:rPr>
          <w:b/>
        </w:rPr>
      </w:pPr>
    </w:p>
    <w:p w14:paraId="7A5149AB" w14:textId="77777777" w:rsidR="00325B21" w:rsidRDefault="009604CE" w:rsidP="00325B21">
      <w:pPr>
        <w:pStyle w:val="Nadpis2"/>
        <w:pBdr>
          <w:top w:val="none" w:sz="0" w:space="0" w:color="auto"/>
        </w:pBdr>
        <w:tabs>
          <w:tab w:val="clear" w:pos="0"/>
        </w:tabs>
        <w:ind w:left="709" w:hanging="709"/>
      </w:pPr>
      <w:bookmarkStart w:id="9" w:name="_Toc165831764"/>
      <w:r>
        <w:t xml:space="preserve">Popis </w:t>
      </w:r>
      <w:r w:rsidR="00A855D4">
        <w:t xml:space="preserve">plánovaných </w:t>
      </w:r>
      <w:r>
        <w:t>změn</w:t>
      </w:r>
      <w:bookmarkEnd w:id="9"/>
    </w:p>
    <w:p w14:paraId="1B840FAC" w14:textId="3B4AD0AF" w:rsidR="00AB126D" w:rsidRDefault="009604CE" w:rsidP="00AB126D">
      <w:pPr>
        <w:pStyle w:val="Zkladntext"/>
        <w:rPr>
          <w:lang w:val="nl-NL" w:eastAsia="en-US"/>
        </w:rPr>
      </w:pPr>
      <w:r>
        <w:rPr>
          <w:lang w:val="nl-NL" w:eastAsia="en-US"/>
        </w:rPr>
        <w:t>Předmětem úprav jsou tyto změny</w:t>
      </w:r>
      <w:r w:rsidR="008A1367">
        <w:rPr>
          <w:lang w:val="nl-NL" w:eastAsia="en-US"/>
        </w:rPr>
        <w:t xml:space="preserve"> v 1.NP a 2.NP stávající pobočky</w:t>
      </w:r>
      <w:r>
        <w:rPr>
          <w:lang w:val="nl-NL" w:eastAsia="en-US"/>
        </w:rPr>
        <w:t>:</w:t>
      </w:r>
    </w:p>
    <w:p w14:paraId="7A995761" w14:textId="397AE783" w:rsidR="002C1975" w:rsidRPr="008C1E35" w:rsidRDefault="009604CE" w:rsidP="002C1975">
      <w:pPr>
        <w:pStyle w:val="Odstavecseseznamem"/>
        <w:numPr>
          <w:ilvl w:val="0"/>
          <w:numId w:val="20"/>
        </w:numPr>
        <w:shd w:val="clear" w:color="auto" w:fill="FFFFFF"/>
        <w:rPr>
          <w:rFonts w:ascii="Times New Roman" w:hAnsi="Times New Roman"/>
          <w:color w:val="222222"/>
          <w:szCs w:val="24"/>
        </w:rPr>
      </w:pPr>
      <w:r w:rsidRPr="008A1367">
        <w:rPr>
          <w:rFonts w:ascii="Times New Roman" w:hAnsi="Times New Roman"/>
          <w:color w:val="222222"/>
        </w:rPr>
        <w:t xml:space="preserve">Drobná úprava dispozice a výměna povrchových úprav – výměna podlahových krytin, výměna podhledu, výměna nábytku, </w:t>
      </w:r>
      <w:r w:rsidR="008A1367" w:rsidRPr="008A1367">
        <w:rPr>
          <w:rFonts w:ascii="Times New Roman" w:hAnsi="Times New Roman"/>
          <w:color w:val="222222"/>
        </w:rPr>
        <w:t>výměna dveří bez požárně dělicí funkce</w:t>
      </w:r>
      <w:r w:rsidRPr="008A1367">
        <w:rPr>
          <w:rFonts w:ascii="Times New Roman" w:hAnsi="Times New Roman"/>
          <w:color w:val="222222"/>
        </w:rPr>
        <w:t>,</w:t>
      </w:r>
      <w:r w:rsidR="008A1367">
        <w:rPr>
          <w:rFonts w:ascii="Times New Roman" w:hAnsi="Times New Roman"/>
          <w:color w:val="222222"/>
        </w:rPr>
        <w:t xml:space="preserve"> (směr </w:t>
      </w:r>
      <w:r w:rsidR="008A1367">
        <w:rPr>
          <w:rFonts w:ascii="Times New Roman" w:hAnsi="Times New Roman"/>
          <w:color w:val="222222"/>
        </w:rPr>
        <w:lastRenderedPageBreak/>
        <w:t xml:space="preserve">otáčení a rozměry zachovány), </w:t>
      </w:r>
      <w:r w:rsidRPr="008A1367">
        <w:rPr>
          <w:rFonts w:ascii="Times New Roman" w:hAnsi="Times New Roman"/>
          <w:color w:val="222222"/>
        </w:rPr>
        <w:t xml:space="preserve"> doplnění prosklených a SDK příček. </w:t>
      </w:r>
      <w:r w:rsidR="003B62CD">
        <w:rPr>
          <w:rFonts w:ascii="Times New Roman" w:hAnsi="Times New Roman"/>
          <w:color w:val="222222"/>
        </w:rPr>
        <w:t>Úprava koncových prvků stávajícího VZT a klimatizační jednotky.</w:t>
      </w:r>
    </w:p>
    <w:p w14:paraId="5E600B44" w14:textId="77777777" w:rsidR="00323485" w:rsidRPr="00E85E3A" w:rsidRDefault="009604CE" w:rsidP="00323485">
      <w:pPr>
        <w:pStyle w:val="Nadpis1"/>
        <w:spacing w:after="0"/>
      </w:pPr>
      <w:bookmarkStart w:id="10" w:name="_Toc165831765"/>
      <w:r w:rsidRPr="00E85E3A">
        <w:t>PRŮKAZ MOŽNOSTI POUŽITÍ ČSN 73 0834 DLE KAP. 1</w:t>
      </w:r>
      <w:bookmarkEnd w:id="10"/>
    </w:p>
    <w:p w14:paraId="259D0F50" w14:textId="77777777" w:rsidR="00323485" w:rsidRPr="00E85E3A" w:rsidRDefault="009604CE" w:rsidP="007A641F">
      <w:pPr>
        <w:pStyle w:val="Normbezodsazen"/>
        <w:spacing w:before="0" w:line="240" w:lineRule="auto"/>
        <w:rPr>
          <w:i/>
          <w:u w:val="single"/>
        </w:rPr>
      </w:pPr>
      <w:r w:rsidRPr="00E85E3A">
        <w:t xml:space="preserve">Tato norma platí pro projektování požární bezpečnosti změn dokončených staveb, pokud tyto změny podléhají ohlášení, změně účelu užívání nebo stavebnímu povolení podle příslušného právního předpisu </w:t>
      </w:r>
      <w:r w:rsidR="00343578">
        <w:rPr>
          <w:i/>
          <w:u w:val="single"/>
        </w:rPr>
        <w:t>–</w:t>
      </w:r>
      <w:r w:rsidR="009F2B1F">
        <w:rPr>
          <w:i/>
          <w:u w:val="single"/>
        </w:rPr>
        <w:t xml:space="preserve"> jedná se o změnu stávající</w:t>
      </w:r>
      <w:r w:rsidRPr="00E85E3A">
        <w:rPr>
          <w:i/>
          <w:u w:val="single"/>
        </w:rPr>
        <w:t xml:space="preserve"> stavby</w:t>
      </w:r>
    </w:p>
    <w:p w14:paraId="15614136" w14:textId="77777777" w:rsidR="00323485" w:rsidRPr="00E85E3A" w:rsidRDefault="009604CE" w:rsidP="007A641F">
      <w:pPr>
        <w:pStyle w:val="Normbezodsazen"/>
        <w:spacing w:before="0" w:line="240" w:lineRule="auto"/>
      </w:pPr>
      <w:r w:rsidRPr="00E85E3A">
        <w:t>Normu lze pro změny staveb použít opakovaně, pokud jsou splněny požadavky čl. 3.2.</w:t>
      </w:r>
    </w:p>
    <w:p w14:paraId="4F0F8397" w14:textId="77777777" w:rsidR="00323485" w:rsidRPr="00E85E3A" w:rsidRDefault="009604CE" w:rsidP="00323485">
      <w:pPr>
        <w:pStyle w:val="Normbezodsazen"/>
        <w:spacing w:before="0" w:after="0" w:line="240" w:lineRule="auto"/>
      </w:pPr>
      <w:r w:rsidRPr="00E85E3A">
        <w:t>Norma neplatí pro změny těch staveb, které byly projektovány podle ČSN 73 0802,</w:t>
      </w:r>
      <w:r w:rsidRPr="00E85E3A">
        <w:br/>
        <w:t>ČSN 73 0804 a norem řady ČSN 73 08xx, kromě:</w:t>
      </w:r>
    </w:p>
    <w:p w14:paraId="213822EE" w14:textId="77777777" w:rsidR="00323485" w:rsidRPr="00E85E3A" w:rsidRDefault="009604CE" w:rsidP="00323485">
      <w:pPr>
        <w:pStyle w:val="Normbezodsazen"/>
        <w:spacing w:before="0" w:after="0" w:line="240" w:lineRule="auto"/>
      </w:pPr>
      <w:r w:rsidRPr="00E85E3A">
        <w:tab/>
        <w:t>- změn staveb skupiny I;</w:t>
      </w:r>
    </w:p>
    <w:p w14:paraId="01A0CD98" w14:textId="77777777" w:rsidR="00323485" w:rsidRPr="00E85E3A" w:rsidRDefault="009604CE" w:rsidP="00F81733">
      <w:pPr>
        <w:pStyle w:val="Normbezodsazen"/>
        <w:spacing w:before="0" w:line="240" w:lineRule="auto"/>
      </w:pPr>
      <w:r w:rsidRPr="00E85E3A">
        <w:tab/>
        <w:t>- domů pro bydlení projektovaných podle typových podkladů (celostátních či krajských variant) schválených do konce roku 1994, i když byly projektovány podle</w:t>
      </w:r>
      <w:r w:rsidRPr="00E85E3A">
        <w:br/>
        <w:t>ČSN 73 0802 a ČSN 73 0833; pro změny těchto staveb platí příloha A této normy.</w:t>
      </w:r>
    </w:p>
    <w:p w14:paraId="10FBFE7D" w14:textId="77777777" w:rsidR="00323485" w:rsidRPr="00E85E3A" w:rsidRDefault="009604CE" w:rsidP="007A641F">
      <w:pPr>
        <w:pStyle w:val="Normbezodsazen"/>
        <w:spacing w:before="0" w:line="240" w:lineRule="auto"/>
        <w:rPr>
          <w:i/>
          <w:u w:val="single"/>
        </w:rPr>
      </w:pPr>
      <w:r>
        <w:rPr>
          <w:i/>
          <w:u w:val="single"/>
        </w:rPr>
        <w:t>-</w:t>
      </w:r>
      <w:r w:rsidRPr="00E85E3A">
        <w:rPr>
          <w:i/>
          <w:u w:val="single"/>
        </w:rPr>
        <w:t xml:space="preserve"> jedná se o změnu stavby skupiny I</w:t>
      </w:r>
    </w:p>
    <w:p w14:paraId="2E5EB2B7" w14:textId="77777777" w:rsidR="00323485" w:rsidRPr="00E85E3A" w:rsidRDefault="009604CE" w:rsidP="00323485">
      <w:pPr>
        <w:pStyle w:val="Normbezodsazen"/>
        <w:spacing w:before="0" w:after="0" w:line="240" w:lineRule="auto"/>
      </w:pPr>
      <w:r w:rsidRPr="00E85E3A">
        <w:t>Změny staveb skupiny II lze pro:</w:t>
      </w:r>
    </w:p>
    <w:p w14:paraId="01FAE965" w14:textId="77777777" w:rsidR="00323485" w:rsidRPr="00E85E3A" w:rsidRDefault="009604CE" w:rsidP="00323485">
      <w:pPr>
        <w:pStyle w:val="Normbezodsazen"/>
        <w:spacing w:before="0" w:after="0" w:line="240" w:lineRule="auto"/>
      </w:pPr>
      <w:r w:rsidRPr="00E85E3A">
        <w:tab/>
        <w:t>- shromažďovací prostory;</w:t>
      </w:r>
    </w:p>
    <w:p w14:paraId="11D8676D" w14:textId="77777777" w:rsidR="00323485" w:rsidRPr="00E85E3A" w:rsidRDefault="009604CE" w:rsidP="00323485">
      <w:pPr>
        <w:pStyle w:val="Normbezodsazen"/>
        <w:spacing w:before="0" w:after="0" w:line="240" w:lineRule="auto"/>
      </w:pPr>
      <w:r w:rsidRPr="00E85E3A">
        <w:tab/>
        <w:t>- sklady;</w:t>
      </w:r>
    </w:p>
    <w:p w14:paraId="36048460" w14:textId="77777777" w:rsidR="00323485" w:rsidRPr="00E85E3A" w:rsidRDefault="009604CE" w:rsidP="00323485">
      <w:pPr>
        <w:pStyle w:val="Normbezodsazen"/>
        <w:spacing w:before="0" w:after="0" w:line="240" w:lineRule="auto"/>
      </w:pPr>
      <w:r w:rsidRPr="00E85E3A">
        <w:tab/>
        <w:t>- objekty spojů;</w:t>
      </w:r>
    </w:p>
    <w:p w14:paraId="66571972" w14:textId="77777777" w:rsidR="00323485" w:rsidRPr="00E85E3A" w:rsidRDefault="009604CE" w:rsidP="00323485">
      <w:pPr>
        <w:pStyle w:val="Normbezodsazen"/>
        <w:spacing w:before="0" w:after="0" w:line="240" w:lineRule="auto"/>
      </w:pPr>
      <w:r w:rsidRPr="00E85E3A">
        <w:tab/>
        <w:t>- budovy zdravotnických zařízení a sociální péče;</w:t>
      </w:r>
    </w:p>
    <w:p w14:paraId="36782659" w14:textId="77777777" w:rsidR="00323485" w:rsidRPr="00E85E3A" w:rsidRDefault="009604CE" w:rsidP="00323485">
      <w:pPr>
        <w:pStyle w:val="Normbezodsazen"/>
        <w:spacing w:before="0" w:after="0" w:line="240" w:lineRule="auto"/>
      </w:pPr>
      <w:r w:rsidRPr="00E85E3A">
        <w:tab/>
        <w:t>- sklady a provozovny s hořlavými kapalinami, plyny apod.,</w:t>
      </w:r>
    </w:p>
    <w:p w14:paraId="3A63E871" w14:textId="77777777" w:rsidR="00323485" w:rsidRPr="00E85E3A" w:rsidRDefault="009604CE" w:rsidP="00404F4C">
      <w:pPr>
        <w:pStyle w:val="Normbezodsazen"/>
        <w:spacing w:before="0" w:line="240" w:lineRule="auto"/>
      </w:pPr>
      <w:r w:rsidRPr="00E85E3A">
        <w:t>aplikovat pouze v rozsahu, v jakém se na ni příslušné technické normy nebo předpisy odvolávají.</w:t>
      </w:r>
    </w:p>
    <w:p w14:paraId="25D9152A" w14:textId="77777777" w:rsidR="00323485" w:rsidRPr="00E85E3A" w:rsidRDefault="009604CE" w:rsidP="00323485">
      <w:pPr>
        <w:pStyle w:val="Normbezodsazen"/>
        <w:spacing w:before="0" w:after="360" w:line="240" w:lineRule="auto"/>
        <w:rPr>
          <w:i/>
          <w:u w:val="single"/>
        </w:rPr>
      </w:pPr>
      <w:r w:rsidRPr="00E85E3A">
        <w:rPr>
          <w:i/>
          <w:u w:val="single"/>
        </w:rPr>
        <w:t>- nejedná se o změnu stavby skupiny II shromažďovacího prostoru, skladu, objektu spojů, budovy zdravotnického zařízení sociální péče či skladu a provozovny s hořlavými kapalinami, plyny apod.</w:t>
      </w:r>
    </w:p>
    <w:p w14:paraId="140DA522" w14:textId="77777777" w:rsidR="00323485" w:rsidRPr="00E85E3A" w:rsidRDefault="009604CE" w:rsidP="00323485">
      <w:pPr>
        <w:pStyle w:val="Nadpis1"/>
      </w:pPr>
      <w:bookmarkStart w:id="11" w:name="_Toc403459876"/>
      <w:bookmarkStart w:id="12" w:name="_Toc437856787"/>
      <w:bookmarkStart w:id="13" w:name="_Toc165831766"/>
      <w:r w:rsidRPr="00E85E3A">
        <w:t>POSUDEK DLE ČL. 3.2 ČSN 73 0834</w:t>
      </w:r>
      <w:bookmarkEnd w:id="11"/>
      <w:bookmarkEnd w:id="12"/>
      <w:bookmarkEnd w:id="13"/>
    </w:p>
    <w:p w14:paraId="6A84B7A8" w14:textId="77777777" w:rsidR="00323485" w:rsidRPr="00E85E3A" w:rsidRDefault="009604CE" w:rsidP="00323485">
      <w:pPr>
        <w:pStyle w:val="Normbezodsazen"/>
        <w:spacing w:line="240" w:lineRule="auto"/>
      </w:pPr>
      <w:r w:rsidRPr="00E85E3A">
        <w:t>Změna užívání objektu, prostoru nebo provozu je z hlediska požární bezpečnosti staveb pouze změna, která u měněného prostoru vede:</w:t>
      </w:r>
    </w:p>
    <w:p w14:paraId="00868B9D" w14:textId="77777777" w:rsidR="00323485" w:rsidRPr="00F73F59" w:rsidRDefault="009604CE" w:rsidP="00F73F59">
      <w:pPr>
        <w:numPr>
          <w:ilvl w:val="0"/>
          <w:numId w:val="4"/>
        </w:numPr>
        <w:spacing w:after="120"/>
        <w:ind w:left="0" w:firstLine="0"/>
        <w:jc w:val="both"/>
        <w:rPr>
          <w:i/>
          <w:u w:val="single"/>
        </w:rPr>
      </w:pPr>
      <w:r w:rsidRPr="00E85E3A">
        <w:rPr>
          <w:i/>
          <w:u w:val="single"/>
        </w:rPr>
        <w:t>ke zvýšení požárního rizika, které je vyjádřeno</w:t>
      </w:r>
    </w:p>
    <w:p w14:paraId="44A6C8DF" w14:textId="77777777" w:rsidR="00323485" w:rsidRPr="00E85E3A" w:rsidRDefault="009604CE" w:rsidP="00323485">
      <w:pPr>
        <w:numPr>
          <w:ilvl w:val="0"/>
          <w:numId w:val="3"/>
        </w:numPr>
        <w:ind w:left="709" w:hanging="283"/>
        <w:jc w:val="both"/>
        <w:rPr>
          <w:i/>
        </w:rPr>
      </w:pPr>
      <w:r w:rsidRPr="00E85E3A">
        <w:rPr>
          <w:i/>
        </w:rPr>
        <w:t>u nevýrobních objektů zvýšením součinu (p</w:t>
      </w:r>
      <w:r w:rsidRPr="00E85E3A">
        <w:rPr>
          <w:i/>
          <w:vertAlign w:val="subscript"/>
        </w:rPr>
        <w:t>n</w:t>
      </w:r>
      <w:r w:rsidRPr="00E85E3A">
        <w:rPr>
          <w:rFonts w:cs="Arial"/>
          <w:i/>
        </w:rPr>
        <w:t>·</w:t>
      </w:r>
      <w:r w:rsidRPr="00E85E3A">
        <w:rPr>
          <w:i/>
        </w:rPr>
        <w:t> a</w:t>
      </w:r>
      <w:r w:rsidRPr="00E85E3A">
        <w:rPr>
          <w:i/>
          <w:vertAlign w:val="subscript"/>
        </w:rPr>
        <w:t>n</w:t>
      </w:r>
      <w:r w:rsidRPr="00E85E3A">
        <w:rPr>
          <w:rFonts w:cs="Arial"/>
          <w:i/>
        </w:rPr>
        <w:t>·</w:t>
      </w:r>
      <w:r w:rsidRPr="00E85E3A">
        <w:rPr>
          <w:i/>
        </w:rPr>
        <w:t>c) o více než 15 kg/m</w:t>
      </w:r>
      <w:r w:rsidRPr="00E85E3A">
        <w:rPr>
          <w:i/>
          <w:vertAlign w:val="superscript"/>
        </w:rPr>
        <w:t>2</w:t>
      </w:r>
      <w:r w:rsidRPr="00E85E3A">
        <w:rPr>
          <w:i/>
        </w:rPr>
        <w:t>;</w:t>
      </w:r>
    </w:p>
    <w:p w14:paraId="4D74EDC0" w14:textId="77777777" w:rsidR="00323485" w:rsidRPr="001B722D" w:rsidRDefault="009604CE" w:rsidP="00323485">
      <w:pPr>
        <w:pStyle w:val="Textnormy"/>
        <w:numPr>
          <w:ilvl w:val="0"/>
          <w:numId w:val="3"/>
        </w:numPr>
        <w:ind w:left="709" w:hanging="283"/>
        <w:rPr>
          <w:rFonts w:ascii="Times New Roman" w:hAnsi="Times New Roman"/>
          <w:i/>
          <w:strike/>
          <w:sz w:val="24"/>
        </w:rPr>
      </w:pPr>
      <w:r w:rsidRPr="00E85E3A">
        <w:rPr>
          <w:rFonts w:ascii="Times New Roman" w:hAnsi="Times New Roman"/>
          <w:i/>
          <w:sz w:val="24"/>
        </w:rPr>
        <w:t>u výrobních objektů zvýšením průměrného požárního zatížení (</w:t>
      </w:r>
      <w:r w:rsidRPr="00E85E3A">
        <w:rPr>
          <w:rFonts w:ascii="Times New Roman" w:hAnsi="Times New Roman"/>
          <w:i/>
          <w:noProof/>
          <w:sz w:val="24"/>
          <w:lang w:eastAsia="cs-CZ"/>
        </w:rPr>
        <w:drawing>
          <wp:inline distT="0" distB="0" distL="0" distR="0" wp14:anchorId="6F62F6BE" wp14:editId="42A0B9A1">
            <wp:extent cx="142224" cy="180975"/>
            <wp:effectExtent l="0" t="0" r="0" b="0"/>
            <wp:docPr id="100005" name="Picture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r:embed="rId8"/>
                    <a:stretch>
                      <a:fillRect/>
                    </a:stretch>
                  </pic:blipFill>
                  <pic:spPr>
                    <a:xfrm>
                      <a:off x="0" y="0"/>
                      <a:ext cx="142224" cy="180975"/>
                    </a:xfrm>
                    <a:prstGeom prst="rect">
                      <a:avLst/>
                    </a:prstGeom>
                  </pic:spPr>
                </pic:pic>
              </a:graphicData>
            </a:graphic>
          </wp:inline>
        </w:drawing>
      </w:r>
      <w:r w:rsidRPr="00E85E3A">
        <w:rPr>
          <w:rFonts w:ascii="Times New Roman" w:hAnsi="Times New Roman"/>
          <w:i/>
          <w:sz w:val="24"/>
        </w:rPr>
        <w:t>·c) o více než</w:t>
      </w:r>
      <w:r w:rsidRPr="00E85E3A">
        <w:rPr>
          <w:rFonts w:ascii="Times New Roman" w:hAnsi="Times New Roman"/>
          <w:i/>
          <w:sz w:val="24"/>
        </w:rPr>
        <w:br/>
        <w:t>15 kg/m</w:t>
      </w:r>
      <w:r w:rsidRPr="00E85E3A">
        <w:rPr>
          <w:rFonts w:ascii="Times New Roman" w:hAnsi="Times New Roman"/>
          <w:i/>
          <w:sz w:val="24"/>
          <w:vertAlign w:val="superscript"/>
        </w:rPr>
        <w:t>2</w:t>
      </w:r>
      <w:r w:rsidRPr="00E85E3A">
        <w:rPr>
          <w:rFonts w:ascii="Times New Roman" w:hAnsi="Times New Roman"/>
          <w:i/>
          <w:sz w:val="24"/>
        </w:rPr>
        <w:t>;</w:t>
      </w:r>
    </w:p>
    <w:p w14:paraId="19D1C2C8" w14:textId="77777777" w:rsidR="00091E21" w:rsidRPr="00091E21" w:rsidRDefault="009604CE" w:rsidP="00091E21">
      <w:pPr>
        <w:pStyle w:val="Normbezodsazen"/>
        <w:spacing w:before="0" w:after="0" w:line="240" w:lineRule="auto"/>
      </w:pPr>
      <w:r>
        <w:t>Požární úsek je nadále používán jako pobočka banky a nedochází k</w:t>
      </w:r>
      <w:r w:rsidR="00311672">
        <w:t> </w:t>
      </w:r>
      <w:r>
        <w:t>změně</w:t>
      </w:r>
      <w:r w:rsidR="00311672">
        <w:t xml:space="preserve"> využití ani zvýšení požárního rizika</w:t>
      </w:r>
      <w:r w:rsidR="002C1975">
        <w:t xml:space="preserve"> </w:t>
      </w:r>
      <w:r>
        <w:t xml:space="preserve">→ </w:t>
      </w:r>
      <w:r w:rsidRPr="00091E21">
        <w:rPr>
          <w:b/>
          <w:bCs/>
        </w:rPr>
        <w:t>vyhovuje.</w:t>
      </w:r>
    </w:p>
    <w:p w14:paraId="1F2A38F1" w14:textId="77777777" w:rsidR="005E715E" w:rsidRPr="009172F4" w:rsidRDefault="009604CE" w:rsidP="009172F4">
      <w:pPr>
        <w:numPr>
          <w:ilvl w:val="0"/>
          <w:numId w:val="4"/>
        </w:numPr>
        <w:spacing w:before="120" w:after="120"/>
        <w:ind w:left="0" w:firstLine="0"/>
        <w:jc w:val="both"/>
        <w:rPr>
          <w:i/>
          <w:u w:val="single"/>
        </w:rPr>
      </w:pPr>
      <w:r w:rsidRPr="00E85E3A">
        <w:rPr>
          <w:i/>
          <w:u w:val="single"/>
        </w:rPr>
        <w:t>ke zvýšení počtu osob unikajících z měněného objektu nebo jeho částí, pokud se počet osob započitatelný na kteroukoliv únikovou komunikaci zvýší o více než</w:t>
      </w:r>
      <w:r w:rsidRPr="00E85E3A">
        <w:rPr>
          <w:i/>
          <w:u w:val="single"/>
        </w:rPr>
        <w:br/>
        <w:t>20 % stávajícího stavu; pokud se určí zvýšený počet osob o více než 20 %, musí se současně prokázat, že kterákoliv dotčená stávající společná komunikace vyhovuje podle příslušné požární normy úniku celkového počtu osob; i když jde o uvedené zvýšené počty osob, avšak prokáží se vyhovující stávající komunikace, nepovažuje se zvýšený počet osob za změnu užívání objektu, prostoru nebo provozu; nebo</w:t>
      </w:r>
    </w:p>
    <w:p w14:paraId="31D73790" w14:textId="77777777" w:rsidR="00311672" w:rsidRDefault="009604CE" w:rsidP="00311672">
      <w:pPr>
        <w:pStyle w:val="Normbezodsazen"/>
        <w:spacing w:before="0" w:after="0" w:line="240" w:lineRule="auto"/>
        <w:rPr>
          <w:b/>
          <w:bCs/>
        </w:rPr>
      </w:pPr>
      <w:r>
        <w:lastRenderedPageBreak/>
        <w:t xml:space="preserve">Požární úsek je nadále používán jako pobočka banky a nedochází k změně využití ani zvýšení počtu osob v prostoru → </w:t>
      </w:r>
      <w:r w:rsidRPr="00091E21">
        <w:rPr>
          <w:b/>
          <w:bCs/>
        </w:rPr>
        <w:t>vyhovuje.</w:t>
      </w:r>
    </w:p>
    <w:p w14:paraId="287B6A21" w14:textId="77777777" w:rsidR="00323485" w:rsidRPr="00E85E3A" w:rsidRDefault="009604CE" w:rsidP="00323485">
      <w:pPr>
        <w:numPr>
          <w:ilvl w:val="0"/>
          <w:numId w:val="4"/>
        </w:numPr>
        <w:spacing w:after="120"/>
        <w:ind w:left="0" w:firstLine="0"/>
        <w:jc w:val="both"/>
        <w:rPr>
          <w:i/>
          <w:u w:val="single"/>
        </w:rPr>
      </w:pPr>
      <w:r w:rsidRPr="00E85E3A">
        <w:rPr>
          <w:i/>
          <w:u w:val="single"/>
        </w:rPr>
        <w:t>ke zvýšení počtu osob s omezenou schopností pohybu či neschopných samostatného pohybu o více než 12 osob na kterékoliv únikové cestě z objektu; nebo</w:t>
      </w:r>
    </w:p>
    <w:p w14:paraId="21A32D29" w14:textId="77777777" w:rsidR="00323485" w:rsidRDefault="009604CE" w:rsidP="003901D4">
      <w:pPr>
        <w:jc w:val="both"/>
      </w:pPr>
      <w:r>
        <w:t>Revitalizací prostoru</w:t>
      </w:r>
      <w:r w:rsidR="002E72BF">
        <w:t xml:space="preserve"> </w:t>
      </w:r>
      <w:r w:rsidR="00A42197" w:rsidRPr="005033A5">
        <w:t>nedochází k</w:t>
      </w:r>
      <w:r w:rsidR="00A42197">
        <w:t>e</w:t>
      </w:r>
      <w:r w:rsidR="00A42197" w:rsidRPr="00E85E3A">
        <w:t xml:space="preserve"> </w:t>
      </w:r>
      <w:r w:rsidRPr="00E85E3A">
        <w:t>zvýšení počtu osob</w:t>
      </w:r>
      <w:r w:rsidR="00E95AD6">
        <w:t xml:space="preserve"> </w:t>
      </w:r>
      <w:r w:rsidRPr="00E85E3A">
        <w:t>s omezenou schopností pohybu či neschopných samostatného pohybu</w:t>
      </w:r>
      <w:r w:rsidR="00A42197">
        <w:t xml:space="preserve"> </w:t>
      </w:r>
      <w:r w:rsidR="006E70AF" w:rsidRPr="00E85E3A">
        <w:t>o více než 12</w:t>
      </w:r>
      <w:r w:rsidRPr="00E85E3A">
        <w:t xml:space="preserve"> </w:t>
      </w:r>
      <w:r w:rsidR="002E72BF">
        <w:t>→</w:t>
      </w:r>
      <w:r w:rsidRPr="00E85E3A">
        <w:t xml:space="preserve"> </w:t>
      </w:r>
      <w:r w:rsidRPr="002E72BF">
        <w:rPr>
          <w:b/>
          <w:bCs/>
        </w:rPr>
        <w:t>vyhovuje.</w:t>
      </w:r>
    </w:p>
    <w:p w14:paraId="0C084814" w14:textId="77777777" w:rsidR="00323485" w:rsidRPr="00E85E3A" w:rsidRDefault="009604CE" w:rsidP="00323485">
      <w:pPr>
        <w:numPr>
          <w:ilvl w:val="0"/>
          <w:numId w:val="4"/>
        </w:numPr>
        <w:spacing w:before="120" w:after="120"/>
        <w:ind w:left="0" w:firstLine="0"/>
        <w:jc w:val="both"/>
        <w:rPr>
          <w:i/>
          <w:u w:val="single"/>
        </w:rPr>
      </w:pPr>
      <w:r w:rsidRPr="00E85E3A">
        <w:rPr>
          <w:i/>
          <w:u w:val="single"/>
        </w:rPr>
        <w:t>k záměně funkce objektu nebo měněné části objektu ve vztahu na příslušné projektové normy; za záměnu příslušné projektové normy se považuje i změna užívání, kterou se upravují objekty, prostory nebo provozy; nebo</w:t>
      </w:r>
    </w:p>
    <w:p w14:paraId="34C1D400" w14:textId="77777777" w:rsidR="00F61E65" w:rsidRDefault="009604CE" w:rsidP="004D3A4F">
      <w:pPr>
        <w:pStyle w:val="Normbezodsazen"/>
        <w:spacing w:before="0" w:after="0" w:line="240" w:lineRule="auto"/>
        <w:rPr>
          <w:i/>
        </w:rPr>
      </w:pPr>
      <w:r w:rsidRPr="00E85E3A">
        <w:t xml:space="preserve">Objekt je </w:t>
      </w:r>
      <w:r w:rsidR="00D42F1C">
        <w:t>nadále</w:t>
      </w:r>
      <w:r w:rsidRPr="00E85E3A">
        <w:t xml:space="preserve"> posuzován</w:t>
      </w:r>
      <w:r w:rsidR="00323485" w:rsidRPr="00E85E3A">
        <w:t xml:space="preserve"> dle ČSN 73 0802</w:t>
      </w:r>
      <w:r w:rsidR="002E72BF">
        <w:t xml:space="preserve"> </w:t>
      </w:r>
      <w:r w:rsidRPr="00E85E3A">
        <w:t xml:space="preserve">a navazujících norem </w:t>
      </w:r>
      <w:r w:rsidR="002E72BF">
        <w:t>→</w:t>
      </w:r>
      <w:r w:rsidR="00C537F1">
        <w:t xml:space="preserve"> </w:t>
      </w:r>
      <w:r w:rsidR="00323485" w:rsidRPr="002E72BF">
        <w:rPr>
          <w:b/>
          <w:bCs/>
        </w:rPr>
        <w:t>vyhovuje.</w:t>
      </w:r>
      <w:r w:rsidR="004D3A4F">
        <w:t xml:space="preserve"> </w:t>
      </w:r>
    </w:p>
    <w:p w14:paraId="0AEEC857" w14:textId="77777777" w:rsidR="00323485" w:rsidRPr="00E85E3A" w:rsidRDefault="009604CE" w:rsidP="00323485">
      <w:pPr>
        <w:numPr>
          <w:ilvl w:val="0"/>
          <w:numId w:val="4"/>
        </w:numPr>
        <w:spacing w:before="120" w:after="120"/>
        <w:ind w:left="0" w:firstLine="0"/>
        <w:jc w:val="both"/>
        <w:rPr>
          <w:i/>
          <w:u w:val="single"/>
        </w:rPr>
      </w:pPr>
      <w:r w:rsidRPr="00E85E3A">
        <w:rPr>
          <w:i/>
          <w:u w:val="single"/>
        </w:rPr>
        <w:t>ke změně objektu nástavbou, vestavbou, přístavbou nebo k jiným podstatným stavebním změnám.</w:t>
      </w:r>
    </w:p>
    <w:p w14:paraId="058857E6" w14:textId="77777777" w:rsidR="00A42197" w:rsidRPr="00F73F59" w:rsidRDefault="009604CE" w:rsidP="00F73F59">
      <w:pPr>
        <w:spacing w:before="120" w:after="240"/>
        <w:jc w:val="both"/>
      </w:pPr>
      <w:r>
        <w:t>Nedochází k nástavbě, vestavbě ani přístavbě</w:t>
      </w:r>
      <w:r w:rsidR="00F61E65" w:rsidRPr="00E85E3A">
        <w:t xml:space="preserve">. </w:t>
      </w:r>
    </w:p>
    <w:p w14:paraId="5AA0BF10" w14:textId="77777777" w:rsidR="00323485" w:rsidRPr="00E85E3A" w:rsidRDefault="009604CE" w:rsidP="00323485">
      <w:pPr>
        <w:jc w:val="both"/>
        <w:rPr>
          <w:i/>
          <w:u w:val="single"/>
        </w:rPr>
      </w:pPr>
      <w:r w:rsidRPr="00E85E3A">
        <w:rPr>
          <w:i/>
          <w:u w:val="single"/>
        </w:rPr>
        <w:t>Při opětném projektování změny stavby se podmínky rozhodující pro změnu funkce či užívání objektu, prostoru nebo provozu znovu stanoví podle tohoto článku a současně se nově navrhované změny vztáhnou ke stavu před předcházející změnou stavby provedenou podle</w:t>
      </w:r>
      <w:r w:rsidR="00A42197">
        <w:rPr>
          <w:i/>
          <w:u w:val="single"/>
        </w:rPr>
        <w:br/>
      </w:r>
      <w:r w:rsidRPr="00E85E3A">
        <w:rPr>
          <w:i/>
          <w:u w:val="single"/>
        </w:rPr>
        <w:t>ČSN 73 0834.</w:t>
      </w:r>
    </w:p>
    <w:p w14:paraId="63CE9E9B" w14:textId="77777777" w:rsidR="00323485" w:rsidRPr="00E85E3A" w:rsidRDefault="009604CE" w:rsidP="00323485">
      <w:pPr>
        <w:spacing w:before="120" w:after="120"/>
        <w:jc w:val="both"/>
        <w:rPr>
          <w:i/>
          <w:u w:val="single"/>
        </w:rPr>
      </w:pPr>
      <w:r w:rsidRPr="00E85E3A">
        <w:rPr>
          <w:i/>
          <w:u w:val="single"/>
        </w:rPr>
        <w:t>Pokud zhodnocení podmínek podle položek a) až e) není zpracováno nebo je nelze ke stavu před první změnou stavby provést, nesmí být změna stavby zatříděna do skupiny I (viz 3.3).</w:t>
      </w:r>
    </w:p>
    <w:p w14:paraId="08A77954" w14:textId="77777777" w:rsidR="00323485" w:rsidRPr="00F73F59" w:rsidRDefault="009604CE" w:rsidP="00F73F59">
      <w:pPr>
        <w:spacing w:after="240"/>
        <w:jc w:val="both"/>
      </w:pPr>
      <w:r w:rsidRPr="00E85E3A">
        <w:t>Zhodnocení podmínek podle položek a) až e) je zpracováno.</w:t>
      </w:r>
    </w:p>
    <w:p w14:paraId="1BE636E7" w14:textId="77777777" w:rsidR="00323485" w:rsidRPr="00E85E3A" w:rsidRDefault="009604CE" w:rsidP="00323485">
      <w:pPr>
        <w:jc w:val="both"/>
        <w:rPr>
          <w:b/>
          <w:u w:val="single"/>
        </w:rPr>
      </w:pPr>
      <w:r w:rsidRPr="00E85E3A">
        <w:rPr>
          <w:b/>
          <w:u w:val="single"/>
        </w:rPr>
        <w:t>Závěr:</w:t>
      </w:r>
    </w:p>
    <w:p w14:paraId="69D4F5E9" w14:textId="77777777" w:rsidR="00323485" w:rsidRPr="00E85E3A" w:rsidRDefault="009604CE" w:rsidP="00EE456D">
      <w:pPr>
        <w:pStyle w:val="Normbezodsazen"/>
        <w:spacing w:before="0" w:after="360" w:line="240" w:lineRule="auto"/>
      </w:pPr>
      <w:r w:rsidRPr="00E85E3A">
        <w:t xml:space="preserve">Na základě čl. 3.2 ČSN 73 0834 se jedná o </w:t>
      </w:r>
      <w:r w:rsidRPr="00E85E3A">
        <w:rPr>
          <w:b/>
        </w:rPr>
        <w:t>změnu stavby skupiny I</w:t>
      </w:r>
      <w:r w:rsidRPr="00E85E3A">
        <w:t>. Současně budou splněny podmínky</w:t>
      </w:r>
      <w:r w:rsidRPr="00E85E3A">
        <w:rPr>
          <w:b/>
        </w:rPr>
        <w:t xml:space="preserve"> dle ČSN 73 0834 čl. 4</w:t>
      </w:r>
      <w:r w:rsidRPr="00E85E3A">
        <w:t>.</w:t>
      </w:r>
    </w:p>
    <w:p w14:paraId="29EADC1D" w14:textId="77777777" w:rsidR="00323485" w:rsidRPr="00E85E3A" w:rsidRDefault="009604CE" w:rsidP="00323485">
      <w:pPr>
        <w:pStyle w:val="Nadpis1"/>
      </w:pPr>
      <w:bookmarkStart w:id="14" w:name="_Toc232858584"/>
      <w:bookmarkStart w:id="15" w:name="_Toc403459877"/>
      <w:bookmarkStart w:id="16" w:name="_Toc437856788"/>
      <w:bookmarkStart w:id="17" w:name="_Toc165831767"/>
      <w:r w:rsidRPr="00E85E3A">
        <w:t>POSUDEK</w:t>
      </w:r>
      <w:bookmarkEnd w:id="14"/>
      <w:r w:rsidRPr="00E85E3A">
        <w:t xml:space="preserve"> ZMĚNY STAVBY DLE ČL. 3.3</w:t>
      </w:r>
      <w:bookmarkEnd w:id="15"/>
      <w:r w:rsidRPr="00E85E3A">
        <w:t xml:space="preserve"> ČSN 73 0834</w:t>
      </w:r>
      <w:bookmarkEnd w:id="16"/>
      <w:bookmarkEnd w:id="17"/>
    </w:p>
    <w:p w14:paraId="320B10AA" w14:textId="77777777" w:rsidR="00323485" w:rsidRPr="00E85E3A" w:rsidRDefault="009604CE" w:rsidP="004D0068">
      <w:pPr>
        <w:spacing w:after="120"/>
        <w:rPr>
          <w:u w:val="single"/>
        </w:rPr>
      </w:pPr>
      <w:r w:rsidRPr="00E85E3A">
        <w:rPr>
          <w:u w:val="single"/>
        </w:rPr>
        <w:t>U změn staveb skupiny I nedochází k rozsáhlým stavebním úpravám objektu, nebo ke změně užívání objektu, prostoru, popř. provozu (viz 3.2) a jejich předmětem je pouze:</w:t>
      </w:r>
    </w:p>
    <w:p w14:paraId="6D8B1236" w14:textId="77777777" w:rsidR="00323485" w:rsidRPr="00E85E3A" w:rsidRDefault="009604CE" w:rsidP="00323485">
      <w:pPr>
        <w:pStyle w:val="Textnormy"/>
        <w:numPr>
          <w:ilvl w:val="0"/>
          <w:numId w:val="5"/>
        </w:numPr>
        <w:tabs>
          <w:tab w:val="clear" w:pos="426"/>
          <w:tab w:val="num" w:pos="0"/>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úprava, oprava, výměna nebo nahrazení jednotlivých stavebních konstrukcí;</w:t>
      </w:r>
    </w:p>
    <w:p w14:paraId="0B469443" w14:textId="7497B167" w:rsidR="00E147BE" w:rsidRDefault="009604CE" w:rsidP="00E147BE">
      <w:pPr>
        <w:shd w:val="clear" w:color="auto" w:fill="FFFFFF"/>
        <w:spacing w:after="120"/>
        <w:jc w:val="both"/>
        <w:rPr>
          <w:color w:val="222222"/>
        </w:rPr>
      </w:pPr>
      <w:r w:rsidRPr="00E147BE">
        <w:rPr>
          <w:color w:val="222222"/>
        </w:rPr>
        <w:t xml:space="preserve">V rámci nájemní jednotky proběhne drobná úprava dispozice a výměna povrchových úprav – </w:t>
      </w:r>
      <w:r w:rsidR="008A1367" w:rsidRPr="008A1367">
        <w:rPr>
          <w:color w:val="222222"/>
        </w:rPr>
        <w:t>výměna podlahových krytin, výměna podhledu, výměna nábytku, výměna dveří bez požárně dělicí funkce,</w:t>
      </w:r>
      <w:r w:rsidR="008A1367">
        <w:rPr>
          <w:color w:val="222222"/>
        </w:rPr>
        <w:t xml:space="preserve"> (směr otáčení a rozměry zachovány), </w:t>
      </w:r>
      <w:r w:rsidR="008A1367" w:rsidRPr="008A1367">
        <w:rPr>
          <w:color w:val="222222"/>
        </w:rPr>
        <w:t xml:space="preserve"> doplnění prosklených a SDK příček</w:t>
      </w:r>
      <w:r>
        <w:rPr>
          <w:color w:val="222222"/>
        </w:rPr>
        <w:t>.</w:t>
      </w:r>
    </w:p>
    <w:p w14:paraId="2DB27E85" w14:textId="77777777" w:rsidR="00E147BE" w:rsidRPr="00E147BE" w:rsidRDefault="009604CE" w:rsidP="00E147BE">
      <w:pPr>
        <w:shd w:val="clear" w:color="auto" w:fill="FFFFFF"/>
        <w:rPr>
          <w:color w:val="222222"/>
        </w:rPr>
      </w:pPr>
      <w:r w:rsidRPr="00E147BE">
        <w:rPr>
          <w:b/>
          <w:bCs/>
          <w:color w:val="222222"/>
        </w:rPr>
        <w:t>Bez zásahu do nosný a požárně dělících konstrukcí</w:t>
      </w:r>
      <w:r>
        <w:rPr>
          <w:color w:val="222222"/>
        </w:rPr>
        <w:t xml:space="preserve">. </w:t>
      </w:r>
    </w:p>
    <w:p w14:paraId="33AC864A" w14:textId="77777777" w:rsidR="00323485" w:rsidRPr="00E85E3A" w:rsidRDefault="009604CE" w:rsidP="00323485">
      <w:pPr>
        <w:pStyle w:val="Textnormy"/>
        <w:numPr>
          <w:ilvl w:val="0"/>
          <w:numId w:val="5"/>
        </w:numPr>
        <w:tabs>
          <w:tab w:val="clear" w:pos="426"/>
          <w:tab w:val="num" w:pos="0"/>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výměna, záměna nebo obnova systémů, sestav, popř. prvků technického zařízení budov, které svojí funkcí podmiňují provoz objektu; v rámci výměny, záměny nebo obnovy (a to i v případě, kde uvedená zařízení nebo prostory jsou umístěny v nástavbě nebo přístavbě objektu) může být nově vybudována:</w:t>
      </w:r>
    </w:p>
    <w:p w14:paraId="7CA893C7" w14:textId="77777777" w:rsidR="00323485" w:rsidRPr="00E85E3A" w:rsidRDefault="009604CE" w:rsidP="00323485">
      <w:pPr>
        <w:pStyle w:val="Textnormy"/>
        <w:numPr>
          <w:ilvl w:val="1"/>
          <w:numId w:val="5"/>
        </w:numPr>
        <w:spacing w:before="12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strojovna osobních výtahů;</w:t>
      </w:r>
    </w:p>
    <w:p w14:paraId="6A3A43C2" w14:textId="77777777" w:rsidR="00323485" w:rsidRPr="00E85E3A" w:rsidRDefault="009604CE" w:rsidP="00323485">
      <w:pPr>
        <w:pStyle w:val="Textnormy"/>
        <w:numPr>
          <w:ilvl w:val="1"/>
          <w:numId w:val="5"/>
        </w:numPr>
        <w:spacing w:before="12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osobní výtahy u objektů OB2 s požární výškou do 30 m;</w:t>
      </w:r>
    </w:p>
    <w:p w14:paraId="58465D17" w14:textId="77777777" w:rsidR="00323485" w:rsidRPr="00E85E3A" w:rsidRDefault="009604CE" w:rsidP="00323485">
      <w:pPr>
        <w:pStyle w:val="Textnormy"/>
        <w:numPr>
          <w:ilvl w:val="1"/>
          <w:numId w:val="5"/>
        </w:numPr>
        <w:spacing w:before="12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vnější osobní nebo lůžkový výtah;</w:t>
      </w:r>
    </w:p>
    <w:p w14:paraId="1E6E1F9D" w14:textId="77777777" w:rsidR="00323485" w:rsidRPr="00E85E3A" w:rsidRDefault="009604CE" w:rsidP="00323485">
      <w:pPr>
        <w:pStyle w:val="Textnormy"/>
        <w:numPr>
          <w:ilvl w:val="1"/>
          <w:numId w:val="5"/>
        </w:numPr>
        <w:spacing w:before="12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lastRenderedPageBreak/>
        <w:t>strojovna vzduchotechnického zařízení, pokud rozsah stávajícího vzduchotechnického rozvodu není při obnově rozšířen, nebo bez ohledu na rozšíření, jde-li o jednopodlažní výrobní, skladové a zemědělské objekty;</w:t>
      </w:r>
    </w:p>
    <w:p w14:paraId="01BF7EDD" w14:textId="77777777" w:rsidR="00323485" w:rsidRPr="00E85E3A" w:rsidRDefault="009604CE" w:rsidP="00323485">
      <w:pPr>
        <w:pStyle w:val="Textnormy"/>
        <w:numPr>
          <w:ilvl w:val="1"/>
          <w:numId w:val="5"/>
        </w:numPr>
        <w:spacing w:before="12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kotelna, která nemá celkový jmenovitý tepelný výkon vyšší než 140 kW při nejvyšším jmenovitém tepelném výkonu jednoho kotle do 70 kW včetně;</w:t>
      </w:r>
    </w:p>
    <w:p w14:paraId="2A7299EF" w14:textId="77777777" w:rsidR="00323485" w:rsidRPr="00E85E3A" w:rsidRDefault="009604CE" w:rsidP="00323485">
      <w:pPr>
        <w:pStyle w:val="Textnormy"/>
        <w:numPr>
          <w:ilvl w:val="1"/>
          <w:numId w:val="5"/>
        </w:numPr>
        <w:spacing w:before="12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hygienické zařízení s nahodilým požárním zatížením nejvýše 5 kg/m</w:t>
      </w:r>
      <w:r w:rsidRPr="00E85E3A">
        <w:rPr>
          <w:rFonts w:ascii="Times New Roman" w:eastAsia="Times New Roman" w:hAnsi="Times New Roman"/>
          <w:i/>
          <w:sz w:val="24"/>
          <w:szCs w:val="24"/>
          <w:u w:val="single"/>
          <w:vertAlign w:val="superscript"/>
          <w:lang w:eastAsia="cs-CZ"/>
        </w:rPr>
        <w:t>2</w:t>
      </w:r>
      <w:r w:rsidRPr="00E85E3A">
        <w:rPr>
          <w:rFonts w:ascii="Times New Roman" w:eastAsia="Times New Roman" w:hAnsi="Times New Roman"/>
          <w:i/>
          <w:sz w:val="24"/>
          <w:szCs w:val="24"/>
          <w:u w:val="single"/>
          <w:lang w:eastAsia="cs-CZ"/>
        </w:rPr>
        <w:t>;</w:t>
      </w:r>
    </w:p>
    <w:p w14:paraId="098841C4" w14:textId="77777777" w:rsidR="00546D81" w:rsidRPr="00E85E3A" w:rsidRDefault="009604CE" w:rsidP="00961FBF">
      <w:pPr>
        <w:pStyle w:val="Textnormy"/>
        <w:numPr>
          <w:ilvl w:val="1"/>
          <w:numId w:val="5"/>
        </w:numPr>
        <w:spacing w:before="12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vodovod, kanalizace, ústřední vytápění;</w:t>
      </w:r>
    </w:p>
    <w:p w14:paraId="4B4FC1D0" w14:textId="77777777" w:rsidR="00323485" w:rsidRPr="00E85E3A" w:rsidRDefault="009604CE" w:rsidP="00323485">
      <w:pPr>
        <w:pStyle w:val="Textnormy"/>
        <w:numPr>
          <w:ilvl w:val="1"/>
          <w:numId w:val="5"/>
        </w:numPr>
        <w:spacing w:before="12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solární panely umístěné na střešním plášti stávajících objektů (zpravidla nad stojany LPG a PHM), pokud jejich požární zatížení je do 5,0 kg·m</w:t>
      </w:r>
      <w:r w:rsidRPr="00E85E3A">
        <w:rPr>
          <w:rFonts w:ascii="Times New Roman" w:eastAsia="Times New Roman" w:hAnsi="Times New Roman"/>
          <w:i/>
          <w:sz w:val="24"/>
          <w:szCs w:val="24"/>
          <w:u w:val="single"/>
          <w:vertAlign w:val="superscript"/>
          <w:lang w:eastAsia="cs-CZ"/>
        </w:rPr>
        <w:t>2</w:t>
      </w:r>
      <w:r w:rsidRPr="00E85E3A">
        <w:rPr>
          <w:rFonts w:ascii="Times New Roman" w:eastAsia="Times New Roman" w:hAnsi="Times New Roman"/>
          <w:i/>
          <w:sz w:val="24"/>
          <w:szCs w:val="24"/>
          <w:u w:val="single"/>
          <w:lang w:eastAsia="cs-CZ"/>
        </w:rPr>
        <w:t xml:space="preserve"> a navazující technologické zařízení je v samostatném požárním úseku (solární panely umístěné mimo stavební objekty se požárně nehodnotí);</w:t>
      </w:r>
    </w:p>
    <w:p w14:paraId="037B0C09" w14:textId="7F8B6434" w:rsidR="00311672" w:rsidRPr="003B62CD" w:rsidRDefault="00D07B0F" w:rsidP="003B62CD">
      <w:pPr>
        <w:pStyle w:val="Normbezodsazen"/>
        <w:spacing w:before="0" w:line="240" w:lineRule="auto"/>
      </w:pPr>
      <w:r>
        <w:rPr>
          <w:lang w:val="nl-NL" w:eastAsia="en-US"/>
        </w:rPr>
        <w:t>N</w:t>
      </w:r>
      <w:r w:rsidR="009604CE">
        <w:rPr>
          <w:lang w:val="nl-NL" w:eastAsia="en-US"/>
        </w:rPr>
        <w:t>edochází k rozšířění VZT</w:t>
      </w:r>
      <w:r w:rsidR="008F3CEA" w:rsidRPr="008F3CEA">
        <w:rPr>
          <w:lang w:val="nl-NL" w:eastAsia="en-US"/>
        </w:rPr>
        <w:t xml:space="preserve"> </w:t>
      </w:r>
      <w:r w:rsidR="009604CE">
        <w:rPr>
          <w:lang w:val="nl-NL" w:eastAsia="en-US"/>
        </w:rPr>
        <w:t>zařízení</w:t>
      </w:r>
      <w:r>
        <w:rPr>
          <w:lang w:val="nl-NL" w:eastAsia="en-US"/>
        </w:rPr>
        <w:t>,</w:t>
      </w:r>
      <w:r w:rsidR="009604CE">
        <w:rPr>
          <w:lang w:val="nl-NL" w:eastAsia="en-US"/>
        </w:rPr>
        <w:t xml:space="preserve"> pouze k výměně za nové koncové prvky</w:t>
      </w:r>
      <w:r w:rsidR="009604CE">
        <w:t>.</w:t>
      </w:r>
      <w:bookmarkStart w:id="18" w:name="_GoBack"/>
      <w:bookmarkEnd w:id="18"/>
      <w:r w:rsidR="009604CE">
        <w:t xml:space="preserve"> → </w:t>
      </w:r>
      <w:r w:rsidR="009604CE" w:rsidRPr="002E72BF">
        <w:rPr>
          <w:b/>
          <w:bCs/>
        </w:rPr>
        <w:t>vyhovuje.</w:t>
      </w:r>
      <w:r w:rsidR="009604CE">
        <w:t xml:space="preserve"> </w:t>
      </w:r>
    </w:p>
    <w:p w14:paraId="22896B12" w14:textId="77777777" w:rsidR="00323485" w:rsidRPr="00E85E3A" w:rsidRDefault="009604CE" w:rsidP="00323485">
      <w:pPr>
        <w:pStyle w:val="Textnormy"/>
        <w:numPr>
          <w:ilvl w:val="0"/>
          <w:numId w:val="5"/>
        </w:numPr>
        <w:tabs>
          <w:tab w:val="clear" w:pos="426"/>
          <w:tab w:val="num" w:pos="0"/>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dodatečné vnější tepelné izolace (i s případnou výměnou oken apod.), provedené podle 3.1.3 ČSN 73 0810:2009;</w:t>
      </w:r>
    </w:p>
    <w:p w14:paraId="0CDD550E" w14:textId="77777777" w:rsidR="00323485" w:rsidRPr="00E85E3A" w:rsidRDefault="009604CE" w:rsidP="00EC79B7">
      <w:pPr>
        <w:pStyle w:val="Textnormy"/>
        <w:spacing w:after="0"/>
        <w:rPr>
          <w:rFonts w:ascii="Times New Roman" w:eastAsia="Times New Roman" w:hAnsi="Times New Roman"/>
          <w:sz w:val="24"/>
          <w:szCs w:val="24"/>
          <w:lang w:eastAsia="cs-CZ"/>
        </w:rPr>
      </w:pPr>
      <w:r w:rsidRPr="00E85E3A">
        <w:rPr>
          <w:rFonts w:ascii="Times New Roman" w:eastAsia="Times New Roman" w:hAnsi="Times New Roman"/>
          <w:sz w:val="24"/>
          <w:szCs w:val="24"/>
          <w:lang w:eastAsia="cs-CZ"/>
        </w:rPr>
        <w:t>Ne</w:t>
      </w:r>
      <w:r w:rsidR="003403D5">
        <w:rPr>
          <w:rFonts w:ascii="Times New Roman" w:eastAsia="Times New Roman" w:hAnsi="Times New Roman"/>
          <w:sz w:val="24"/>
          <w:szCs w:val="24"/>
          <w:lang w:eastAsia="cs-CZ"/>
        </w:rPr>
        <w:t>jsou navrženy.</w:t>
      </w:r>
    </w:p>
    <w:p w14:paraId="2214A074" w14:textId="77777777" w:rsidR="00323485" w:rsidRPr="00E85E3A" w:rsidRDefault="009604CE" w:rsidP="00323485">
      <w:pPr>
        <w:pStyle w:val="Textnormy"/>
        <w:numPr>
          <w:ilvl w:val="0"/>
          <w:numId w:val="5"/>
        </w:numPr>
        <w:tabs>
          <w:tab w:val="clear" w:pos="426"/>
          <w:tab w:val="num" w:pos="0"/>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různé stavební úpravy stávajících budov skupiny OB1 podle ČSN 73 0833, aniž by šlo o zvětšení zastavěné plochy, nebo zvýšení požární výšky budovy OB1; stavební úpravy mohou být i u budov OB2 jako např. přístavba před vstupem do budovy na ochranu před deštěm a jde-li o prostor bez požárního rizika apod.;</w:t>
      </w:r>
    </w:p>
    <w:p w14:paraId="0C5C359F" w14:textId="77777777" w:rsidR="0069762C" w:rsidRPr="00E85E3A" w:rsidRDefault="009604CE" w:rsidP="003403D5">
      <w:pPr>
        <w:pStyle w:val="Textnormy"/>
        <w:ind w:left="284" w:hanging="284"/>
        <w:rPr>
          <w:rFonts w:ascii="Times New Roman" w:eastAsia="Times New Roman" w:hAnsi="Times New Roman"/>
          <w:sz w:val="24"/>
          <w:szCs w:val="24"/>
          <w:lang w:eastAsia="cs-CZ"/>
        </w:rPr>
      </w:pPr>
      <w:r>
        <w:rPr>
          <w:rFonts w:ascii="Times New Roman" w:eastAsia="Times New Roman" w:hAnsi="Times New Roman"/>
          <w:sz w:val="24"/>
          <w:szCs w:val="24"/>
          <w:lang w:eastAsia="cs-CZ"/>
        </w:rPr>
        <w:t>Nejsou navrženy.</w:t>
      </w:r>
    </w:p>
    <w:p w14:paraId="4881C012" w14:textId="77777777" w:rsidR="00323485" w:rsidRPr="00E85E3A" w:rsidRDefault="009604CE" w:rsidP="00323485">
      <w:pPr>
        <w:pStyle w:val="Textnormy"/>
        <w:numPr>
          <w:ilvl w:val="0"/>
          <w:numId w:val="5"/>
        </w:numPr>
        <w:tabs>
          <w:tab w:val="clear" w:pos="426"/>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výměna, záměna nebo obnova technologického zařízení;</w:t>
      </w:r>
    </w:p>
    <w:p w14:paraId="34B24BEE" w14:textId="77777777" w:rsidR="00E53578" w:rsidRPr="00E85E3A" w:rsidRDefault="009604CE" w:rsidP="003403D5">
      <w:pPr>
        <w:pStyle w:val="Textnormy"/>
        <w:ind w:left="284" w:hanging="284"/>
        <w:rPr>
          <w:rFonts w:ascii="Times New Roman" w:eastAsia="Times New Roman" w:hAnsi="Times New Roman"/>
          <w:sz w:val="24"/>
          <w:szCs w:val="24"/>
          <w:lang w:eastAsia="cs-CZ"/>
        </w:rPr>
      </w:pPr>
      <w:r>
        <w:rPr>
          <w:rFonts w:ascii="Times New Roman" w:eastAsia="Times New Roman" w:hAnsi="Times New Roman"/>
          <w:sz w:val="24"/>
          <w:szCs w:val="24"/>
          <w:lang w:eastAsia="cs-CZ"/>
        </w:rPr>
        <w:t>Není navrženo.</w:t>
      </w:r>
    </w:p>
    <w:p w14:paraId="3717B7B0" w14:textId="77777777" w:rsidR="00323485" w:rsidRPr="00E85E3A" w:rsidRDefault="009604CE" w:rsidP="00323485">
      <w:pPr>
        <w:pStyle w:val="Textnormy"/>
        <w:numPr>
          <w:ilvl w:val="0"/>
          <w:numId w:val="5"/>
        </w:numPr>
        <w:tabs>
          <w:tab w:val="clear" w:pos="426"/>
          <w:tab w:val="num" w:pos="0"/>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změna vnitřního členění prostorů, kterou v rámci jednoho podlaží nevzniknou v nevýrobních objektech a ve výrobních objektech se skupinou výrob a provozů 4 až 7 (podle ČSN 73 0804) místnosti o podlahové ploše větší než 100 m</w:t>
      </w:r>
      <w:r w:rsidRPr="00E85E3A">
        <w:rPr>
          <w:rFonts w:ascii="Times New Roman" w:eastAsia="Times New Roman" w:hAnsi="Times New Roman"/>
          <w:i/>
          <w:sz w:val="24"/>
          <w:szCs w:val="24"/>
          <w:u w:val="single"/>
          <w:vertAlign w:val="superscript"/>
          <w:lang w:eastAsia="cs-CZ"/>
        </w:rPr>
        <w:t>2</w:t>
      </w:r>
      <w:r w:rsidRPr="00E85E3A">
        <w:rPr>
          <w:rFonts w:ascii="Times New Roman" w:eastAsia="Times New Roman" w:hAnsi="Times New Roman"/>
          <w:i/>
          <w:sz w:val="24"/>
          <w:szCs w:val="24"/>
          <w:u w:val="single"/>
          <w:lang w:eastAsia="cs-CZ"/>
        </w:rPr>
        <w:t>; prostor s podlahovou plochou větší než 100 m</w:t>
      </w:r>
      <w:r w:rsidRPr="00E85E3A">
        <w:rPr>
          <w:rFonts w:ascii="Times New Roman" w:eastAsia="Times New Roman" w:hAnsi="Times New Roman"/>
          <w:i/>
          <w:sz w:val="24"/>
          <w:szCs w:val="24"/>
          <w:u w:val="single"/>
          <w:vertAlign w:val="superscript"/>
          <w:lang w:eastAsia="cs-CZ"/>
        </w:rPr>
        <w:t>2</w:t>
      </w:r>
      <w:r w:rsidRPr="00E85E3A">
        <w:rPr>
          <w:rFonts w:ascii="Times New Roman" w:eastAsia="Times New Roman" w:hAnsi="Times New Roman"/>
          <w:i/>
          <w:sz w:val="24"/>
          <w:szCs w:val="24"/>
          <w:u w:val="single"/>
          <w:lang w:eastAsia="cs-CZ"/>
        </w:rPr>
        <w:t xml:space="preserve"> však může vzniknout rozdělením prostoru původně většího.</w:t>
      </w:r>
    </w:p>
    <w:p w14:paraId="23EEA6B1" w14:textId="05DD8866" w:rsidR="00EC79B7" w:rsidRPr="00AC1098" w:rsidRDefault="00D07B0F" w:rsidP="003403D5">
      <w:pPr>
        <w:pStyle w:val="Textnormy"/>
        <w:spacing w:after="0"/>
        <w:ind w:left="284" w:hanging="284"/>
        <w:rPr>
          <w:rFonts w:ascii="Times New Roman" w:eastAsia="Times New Roman" w:hAnsi="Times New Roman"/>
          <w:sz w:val="24"/>
          <w:szCs w:val="24"/>
          <w:lang w:eastAsia="cs-CZ"/>
        </w:rPr>
      </w:pPr>
      <w:r>
        <w:rPr>
          <w:rFonts w:ascii="Times New Roman" w:eastAsia="Times New Roman" w:hAnsi="Times New Roman"/>
          <w:sz w:val="24"/>
          <w:szCs w:val="24"/>
          <w:lang w:eastAsia="cs-CZ"/>
        </w:rPr>
        <w:t>S</w:t>
      </w:r>
      <w:r w:rsidRPr="00D07B0F">
        <w:rPr>
          <w:rFonts w:ascii="Times New Roman" w:eastAsia="Times New Roman" w:hAnsi="Times New Roman"/>
          <w:sz w:val="24"/>
          <w:szCs w:val="24"/>
          <w:lang w:eastAsia="cs-CZ"/>
        </w:rPr>
        <w:t>tavebními úpravami nevzniká požadavek na vytvoření nového požárního úseku</w:t>
      </w:r>
      <w:r w:rsidR="009604CE">
        <w:rPr>
          <w:rFonts w:ascii="Times New Roman" w:eastAsia="Times New Roman" w:hAnsi="Times New Roman"/>
          <w:sz w:val="24"/>
          <w:szCs w:val="24"/>
          <w:lang w:eastAsia="cs-CZ"/>
        </w:rPr>
        <w:t>.</w:t>
      </w:r>
    </w:p>
    <w:p w14:paraId="157DA048" w14:textId="77777777" w:rsidR="00323485" w:rsidRPr="00E85E3A" w:rsidRDefault="009604CE" w:rsidP="00323485">
      <w:pPr>
        <w:pStyle w:val="Textnormy"/>
        <w:spacing w:before="12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 xml:space="preserve">Za změny staveb skupiny I se nepovažují jakékoliv stavební úpravy shromažďovacích prostorů ve výškovém pásmu VP2 a VP3 podle ČSN 73 0831, jakož i úpravy objektů s více než 20 užitnými nadzemními podlažími, nebo s požární výškou přes 60 m. </w:t>
      </w:r>
    </w:p>
    <w:p w14:paraId="0F7AA4AE" w14:textId="1B3B0CC7" w:rsidR="00323485" w:rsidRPr="00E85E3A" w:rsidRDefault="00D07B0F" w:rsidP="00226893">
      <w:pPr>
        <w:pStyle w:val="Textnormy"/>
        <w:spacing w:after="360"/>
        <w:rPr>
          <w:rFonts w:ascii="Times New Roman" w:eastAsia="Times New Roman" w:hAnsi="Times New Roman"/>
          <w:sz w:val="24"/>
          <w:szCs w:val="24"/>
          <w:lang w:eastAsia="cs-CZ"/>
        </w:rPr>
      </w:pPr>
      <w:r>
        <w:rPr>
          <w:rFonts w:ascii="Times New Roman" w:eastAsia="Times New Roman" w:hAnsi="Times New Roman"/>
          <w:sz w:val="24"/>
          <w:szCs w:val="24"/>
          <w:lang w:eastAsia="cs-CZ"/>
        </w:rPr>
        <w:t>Požární úsek</w:t>
      </w:r>
      <w:r w:rsidR="009604CE" w:rsidRPr="00226893">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 xml:space="preserve">není </w:t>
      </w:r>
      <w:r w:rsidR="009604CE" w:rsidRPr="00226893">
        <w:rPr>
          <w:rFonts w:ascii="Times New Roman" w:eastAsia="Times New Roman" w:hAnsi="Times New Roman"/>
          <w:sz w:val="24"/>
          <w:szCs w:val="24"/>
          <w:lang w:eastAsia="cs-CZ"/>
        </w:rPr>
        <w:t>hodnocen jako shromažďovací prostor.</w:t>
      </w:r>
    </w:p>
    <w:p w14:paraId="6F0C555D" w14:textId="77777777" w:rsidR="00323485" w:rsidRPr="00E85E3A" w:rsidRDefault="009604CE" w:rsidP="00323485">
      <w:pPr>
        <w:pStyle w:val="Nadpis1"/>
      </w:pPr>
      <w:bookmarkStart w:id="19" w:name="_Toc437856789"/>
      <w:bookmarkStart w:id="20" w:name="_Toc165831768"/>
      <w:r w:rsidRPr="00E85E3A">
        <w:t>TECHNICKÉ POŽADAVKY NA ZMĚNY STAVEB SKUPINY I</w:t>
      </w:r>
      <w:bookmarkEnd w:id="19"/>
      <w:bookmarkEnd w:id="20"/>
    </w:p>
    <w:p w14:paraId="4733CCCB" w14:textId="77777777" w:rsidR="00323485" w:rsidRPr="00E85E3A" w:rsidRDefault="009604CE" w:rsidP="00323485">
      <w:pPr>
        <w:pStyle w:val="Textnormy"/>
        <w:rPr>
          <w:rFonts w:ascii="Times New Roman" w:eastAsia="Times New Roman" w:hAnsi="Times New Roman"/>
          <w:sz w:val="24"/>
          <w:szCs w:val="24"/>
          <w:lang w:eastAsia="cs-CZ"/>
        </w:rPr>
      </w:pPr>
      <w:r w:rsidRPr="00E85E3A">
        <w:rPr>
          <w:rFonts w:ascii="Times New Roman" w:eastAsia="Times New Roman" w:hAnsi="Times New Roman"/>
          <w:sz w:val="24"/>
          <w:szCs w:val="24"/>
          <w:lang w:eastAsia="cs-CZ"/>
        </w:rPr>
        <w:t>Změny staveb skupiny I nevyžadují další opatření, pokud splňují tyto požadavky dle</w:t>
      </w:r>
      <w:r w:rsidRPr="00E85E3A">
        <w:rPr>
          <w:rFonts w:ascii="Times New Roman" w:eastAsia="Times New Roman" w:hAnsi="Times New Roman"/>
          <w:sz w:val="24"/>
          <w:szCs w:val="24"/>
          <w:lang w:eastAsia="cs-CZ"/>
        </w:rPr>
        <w:br/>
        <w:t>ČSN 73 0834 kap. 4:</w:t>
      </w:r>
    </w:p>
    <w:p w14:paraId="294452E7" w14:textId="77777777" w:rsidR="00E53578" w:rsidRPr="00E53578" w:rsidRDefault="009604CE" w:rsidP="00E53578">
      <w:pPr>
        <w:pStyle w:val="Textnormy"/>
        <w:numPr>
          <w:ilvl w:val="0"/>
          <w:numId w:val="6"/>
        </w:numPr>
        <w:tabs>
          <w:tab w:val="clear" w:pos="284"/>
          <w:tab w:val="num" w:pos="0"/>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neměněných, není snížena pod původní hodnotu; nepožaduje se však požární odolnost vyšší než 45 minut;</w:t>
      </w:r>
    </w:p>
    <w:p w14:paraId="3D2D2283" w14:textId="77777777" w:rsidR="00323485" w:rsidRPr="00E85E3A" w:rsidRDefault="009604CE" w:rsidP="00CA71D8">
      <w:pPr>
        <w:spacing w:before="120" w:after="240"/>
        <w:jc w:val="both"/>
      </w:pPr>
      <w:r>
        <w:lastRenderedPageBreak/>
        <w:t xml:space="preserve">Stavebními úpravami není snížena požární odolnost žádných požárně dělicích konstrukcí a konstrukcí ohraničující únikové cesty. Do konstrukcí ohraničující stávající požární úsek se nezasahuje. </w:t>
      </w:r>
    </w:p>
    <w:p w14:paraId="0791D715" w14:textId="77777777" w:rsidR="00323485" w:rsidRPr="00E85E3A" w:rsidRDefault="009604CE" w:rsidP="00323485">
      <w:pPr>
        <w:pStyle w:val="Textnormy"/>
        <w:numPr>
          <w:ilvl w:val="0"/>
          <w:numId w:val="6"/>
        </w:numPr>
        <w:tabs>
          <w:tab w:val="clear" w:pos="284"/>
          <w:tab w:val="num" w:pos="0"/>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třída reakce stavebních výrobků na oheň nebo druh konstrukcí použitých v měněných stavebních konstrukcích není oproti původnímu stavu zhoršen; na nově provedenou povrchovou úpravu stěn a stropů není použito výrobků třídy reakce na oheň E nebo F, u stropů (podhledů) navíc hmot, které při požáru (při zkoušce podle ČSN 73 0865) jako hořící odkapávají nebo odpadávají; v případě chráněných únikových cest nebo částečně chráněných únikových cest (které nahrazují chráněné únikové cesty) musí být použity výrobky třídy reakce na oheň A1 nebo A2;</w:t>
      </w:r>
    </w:p>
    <w:p w14:paraId="00F4EBCB" w14:textId="7D35A4D0" w:rsidR="008F3CEA" w:rsidRDefault="009604CE" w:rsidP="00D07B0F">
      <w:pPr>
        <w:spacing w:after="120"/>
        <w:jc w:val="both"/>
      </w:pPr>
      <w:r>
        <w:t>N</w:t>
      </w:r>
      <w:r w:rsidRPr="008F3CEA">
        <w:t>ově nedochází ke zhoršení třídy reakce na oheň stavebních výrobků oproti původnímu stavu. Nové SDK příčky vykazují dle čl. A.1.6 ČSN 73 0810 třídu reakce na oheň A2</w:t>
      </w:r>
      <w:r w:rsidR="00D07B0F">
        <w:t>/A1</w:t>
      </w:r>
      <w:r w:rsidRPr="008F3CEA">
        <w:t xml:space="preserve">. Nové prosklené příčky budou vykazovat třídu reakce na oheň nejhůře </w:t>
      </w:r>
      <w:r w:rsidR="00D07B0F">
        <w:t>A2/</w:t>
      </w:r>
      <w:r w:rsidRPr="008F3CEA">
        <w:t>A1. Nové rastrové minerální</w:t>
      </w:r>
      <w:r>
        <w:t>/SKD</w:t>
      </w:r>
      <w:r w:rsidRPr="008F3CEA">
        <w:t xml:space="preserve"> podhledy budou vykazovat třídu reakce na oheň nejhůře </w:t>
      </w:r>
      <w:r w:rsidR="00D07B0F">
        <w:t>A2/</w:t>
      </w:r>
      <w:r w:rsidRPr="008F3CEA">
        <w:t>A</w:t>
      </w:r>
      <w:r w:rsidR="00D07B0F">
        <w:t>1</w:t>
      </w:r>
      <w:r w:rsidRPr="008F3CEA">
        <w:t>.</w:t>
      </w:r>
    </w:p>
    <w:p w14:paraId="4F066FD6" w14:textId="77777777" w:rsidR="00861D00" w:rsidRDefault="009604CE" w:rsidP="00D07B0F">
      <w:pPr>
        <w:spacing w:after="120"/>
        <w:jc w:val="both"/>
      </w:pPr>
      <w:r>
        <w:t xml:space="preserve">Nově nedochází ke zhoršení třídy reakce na oheň stavebních výrobků oproti původnímu stavu. </w:t>
      </w:r>
    </w:p>
    <w:p w14:paraId="44FD3B36" w14:textId="77777777" w:rsidR="00861D00" w:rsidRPr="008F3CEA" w:rsidRDefault="009604CE" w:rsidP="00D07B0F">
      <w:pPr>
        <w:jc w:val="both"/>
        <w:rPr>
          <w:rFonts w:cs="Arial"/>
        </w:rPr>
      </w:pPr>
      <w:r w:rsidRPr="008F3CEA">
        <w:rPr>
          <w:rFonts w:cs="Arial"/>
        </w:rPr>
        <w:t>Dle původních PBŘ není prostor zařazen do skupin U1, nebo U2 index šíření plamene není omezen.</w:t>
      </w:r>
    </w:p>
    <w:p w14:paraId="41D55D16" w14:textId="77777777" w:rsidR="00323485" w:rsidRPr="00E85E3A" w:rsidRDefault="009604CE" w:rsidP="00083589">
      <w:pPr>
        <w:pStyle w:val="Textnormy"/>
        <w:numPr>
          <w:ilvl w:val="0"/>
          <w:numId w:val="6"/>
        </w:numPr>
        <w:tabs>
          <w:tab w:val="clear" w:pos="284"/>
          <w:tab w:val="num" w:pos="0"/>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šířka nebo výška kterékoliv požárně otevřené plochy v obvodových stěnách není zvětšena o více než 10 % původního rozměru nebo se prokáže, že odstupová vzdálenost vyhovuje příslušným technickým normám a předpisům, popř. nepřesahuje (i nevyhovující) stávající odstupovou vzdálenost;</w:t>
      </w:r>
    </w:p>
    <w:p w14:paraId="3160DFFF" w14:textId="77777777" w:rsidR="00327E77" w:rsidRPr="0023708B" w:rsidRDefault="009604CE" w:rsidP="0023708B">
      <w:pPr>
        <w:spacing w:before="120" w:after="120"/>
        <w:jc w:val="both"/>
        <w:rPr>
          <w:rFonts w:ascii="Calibri" w:eastAsia="Calibri" w:hAnsi="Calibri"/>
          <w:szCs w:val="26"/>
          <w:lang w:eastAsia="en-US"/>
        </w:rPr>
      </w:pPr>
      <w:r>
        <w:t xml:space="preserve">V rámci změny využití </w:t>
      </w:r>
      <w:r w:rsidR="00580610">
        <w:t>místnost</w:t>
      </w:r>
      <w:r w:rsidR="00DD4058">
        <w:t>i</w:t>
      </w:r>
      <w:r w:rsidR="00580610">
        <w:t xml:space="preserve"> </w:t>
      </w:r>
      <w:r>
        <w:t>nedochází ke zvětšení požárně otevřených ploch.</w:t>
      </w:r>
    </w:p>
    <w:p w14:paraId="6C7E0CA8" w14:textId="77777777" w:rsidR="00DF1E55" w:rsidRPr="00DF1E55" w:rsidRDefault="009604CE" w:rsidP="00DF1E55">
      <w:pPr>
        <w:pStyle w:val="Textnormy"/>
        <w:numPr>
          <w:ilvl w:val="0"/>
          <w:numId w:val="6"/>
        </w:numPr>
        <w:tabs>
          <w:tab w:val="clear" w:pos="284"/>
          <w:tab w:val="num" w:pos="0"/>
        </w:tabs>
        <w:spacing w:before="120"/>
        <w:ind w:left="0" w:firstLine="0"/>
        <w:rPr>
          <w:rFonts w:ascii="Times New Roman" w:eastAsia="Times New Roman" w:hAnsi="Times New Roman"/>
          <w:i/>
          <w:sz w:val="24"/>
          <w:szCs w:val="24"/>
          <w:u w:val="single"/>
          <w:lang w:eastAsia="cs-CZ"/>
        </w:rPr>
      </w:pPr>
      <w:r w:rsidRPr="00D74674">
        <w:rPr>
          <w:rFonts w:ascii="Times New Roman" w:eastAsia="Times New Roman" w:hAnsi="Times New Roman"/>
          <w:i/>
          <w:sz w:val="24"/>
          <w:szCs w:val="24"/>
          <w:u w:val="single"/>
          <w:lang w:eastAsia="cs-CZ"/>
        </w:rPr>
        <w:t>nově zřizované prostupy všemi stěnami podle a) jsou utěsněn</w:t>
      </w:r>
      <w:r w:rsidR="00083589" w:rsidRPr="00D74674">
        <w:rPr>
          <w:rFonts w:ascii="Times New Roman" w:eastAsia="Times New Roman" w:hAnsi="Times New Roman"/>
          <w:i/>
          <w:sz w:val="24"/>
          <w:szCs w:val="24"/>
          <w:u w:val="single"/>
          <w:lang w:eastAsia="cs-CZ"/>
        </w:rPr>
        <w:t>y</w:t>
      </w:r>
      <w:r w:rsidR="00D56A7D" w:rsidRPr="00D74674">
        <w:rPr>
          <w:rFonts w:ascii="Times New Roman" w:eastAsia="Times New Roman" w:hAnsi="Times New Roman"/>
          <w:i/>
          <w:sz w:val="24"/>
          <w:szCs w:val="24"/>
          <w:u w:val="single"/>
          <w:lang w:eastAsia="cs-CZ"/>
        </w:rPr>
        <w:t xml:space="preserve"> podle čl. 6.2 </w:t>
      </w:r>
      <w:r w:rsidR="00D56A7D" w:rsidRPr="00D74674">
        <w:rPr>
          <w:rFonts w:ascii="Times New Roman" w:eastAsia="Times New Roman" w:hAnsi="Times New Roman"/>
          <w:i/>
          <w:sz w:val="24"/>
          <w:szCs w:val="24"/>
          <w:u w:val="single"/>
          <w:lang w:eastAsia="cs-CZ"/>
        </w:rPr>
        <w:br/>
        <w:t>ČSN 73 0810:2016</w:t>
      </w:r>
      <w:r w:rsidRPr="00D74674">
        <w:rPr>
          <w:rFonts w:ascii="Times New Roman" w:eastAsia="Times New Roman" w:hAnsi="Times New Roman"/>
          <w:i/>
          <w:sz w:val="24"/>
          <w:szCs w:val="24"/>
          <w:u w:val="single"/>
          <w:lang w:eastAsia="cs-CZ"/>
        </w:rPr>
        <w:t>;</w:t>
      </w:r>
    </w:p>
    <w:p w14:paraId="3AB86CC3" w14:textId="77777777" w:rsidR="00F00E78" w:rsidRPr="00B73448" w:rsidRDefault="009604CE" w:rsidP="00F00E78">
      <w:pPr>
        <w:pStyle w:val="Normbezodsazen"/>
        <w:spacing w:before="0" w:line="240" w:lineRule="auto"/>
        <w:rPr>
          <w:b/>
          <w:bCs/>
        </w:rPr>
      </w:pPr>
      <w:r w:rsidRPr="00B73448">
        <w:rPr>
          <w:b/>
          <w:bCs/>
        </w:rPr>
        <w:t>Případné prostupy kanalizací či elektrických rozvodů požárně dělící konstrukcí musí být utěsněny dle požadavků ČSN 73 0810, tedy následovně:</w:t>
      </w:r>
    </w:p>
    <w:p w14:paraId="503145B0" w14:textId="77777777" w:rsidR="00F00E78" w:rsidRPr="00F00E78" w:rsidRDefault="009604CE" w:rsidP="00F00E78">
      <w:r w:rsidRPr="00F00E78">
        <w:t>Těsnění prostupů kabelů a potrubí je provedeno v souladu s ČSN 73 0810 čl. 6.2. Rozvody nehořlavých látek mohou prostupovat požárně dělící konstrukcí (PDK) pokud se jedna o:</w:t>
      </w:r>
    </w:p>
    <w:p w14:paraId="0D4B4A68" w14:textId="77777777" w:rsidR="00F00E78" w:rsidRPr="00F00E78" w:rsidRDefault="009604CE" w:rsidP="00F00E78">
      <w:pPr>
        <w:numPr>
          <w:ilvl w:val="0"/>
          <w:numId w:val="15"/>
        </w:numPr>
        <w:spacing w:line="280" w:lineRule="exact"/>
        <w:jc w:val="both"/>
      </w:pPr>
      <w:r w:rsidRPr="00F00E78">
        <w:t>potrubí světlého průřezu do 40 000 mm</w:t>
      </w:r>
      <w:r w:rsidRPr="00F00E78">
        <w:rPr>
          <w:vertAlign w:val="superscript"/>
        </w:rPr>
        <w:t>2</w:t>
      </w:r>
      <w:r w:rsidRPr="00F00E78">
        <w:t xml:space="preserve"> (&lt; DN 225) bez dalších opatření </w:t>
      </w:r>
    </w:p>
    <w:p w14:paraId="1C72269D" w14:textId="77777777" w:rsidR="00F00E78" w:rsidRPr="00F00E78" w:rsidRDefault="009604CE" w:rsidP="00F00E78">
      <w:pPr>
        <w:numPr>
          <w:ilvl w:val="0"/>
          <w:numId w:val="15"/>
        </w:numPr>
        <w:spacing w:after="120" w:line="280" w:lineRule="exact"/>
        <w:ind w:left="1077" w:hanging="357"/>
        <w:jc w:val="both"/>
      </w:pPr>
      <w:r w:rsidRPr="00F00E78">
        <w:t>potrubí světlého průřezu nad 40 000 mm</w:t>
      </w:r>
      <w:r w:rsidRPr="00F00E78">
        <w:rPr>
          <w:vertAlign w:val="superscript"/>
        </w:rPr>
        <w:t xml:space="preserve">2 </w:t>
      </w:r>
      <w:r w:rsidRPr="00F00E78">
        <w:t>(&gt; DN 225) jsou ze stavebních výrobků třídy reakce na oheň A1 a A2 (nehořlavé stavební výrobky) a jeho případná izolace je alespoň do vzdálenosti 1000 mm od obou líců požárně dělící konstrukce také z nehořlavých výrobků</w:t>
      </w:r>
    </w:p>
    <w:p w14:paraId="62401CAA" w14:textId="77777777" w:rsidR="00F00E78" w:rsidRPr="00F00E78" w:rsidRDefault="009604CE" w:rsidP="00F00E78">
      <w:r w:rsidRPr="00F00E78">
        <w:t>Jakékoliv potrubí prostupující PDK do PÚ CHÚC musí být utěsněno požárními ucpávkami.</w:t>
      </w:r>
    </w:p>
    <w:p w14:paraId="50989879" w14:textId="77777777" w:rsidR="00F00E78" w:rsidRPr="00F00E78" w:rsidRDefault="009604CE" w:rsidP="00F00E78">
      <w:pPr>
        <w:spacing w:before="120"/>
      </w:pPr>
      <w:r w:rsidRPr="00F00E78">
        <w:t>U těsnění prostupů PDK se postupuje takto:</w:t>
      </w:r>
    </w:p>
    <w:p w14:paraId="091E3752" w14:textId="77777777" w:rsidR="00F00E78" w:rsidRPr="00F00E78" w:rsidRDefault="009604CE" w:rsidP="00F00E78">
      <w:pPr>
        <w:numPr>
          <w:ilvl w:val="0"/>
          <w:numId w:val="16"/>
        </w:numPr>
        <w:spacing w:line="280" w:lineRule="exact"/>
        <w:jc w:val="both"/>
      </w:pPr>
      <w:r w:rsidRPr="00F00E78">
        <w:t>Realizací požární ucpávky se stejnou požární odolností jako PDK, pokud se jedná o:</w:t>
      </w:r>
    </w:p>
    <w:p w14:paraId="673D04B3" w14:textId="77777777" w:rsidR="00F00E78" w:rsidRPr="00F00E78" w:rsidRDefault="009604CE" w:rsidP="00F00E78">
      <w:pPr>
        <w:numPr>
          <w:ilvl w:val="1"/>
          <w:numId w:val="16"/>
        </w:numPr>
        <w:spacing w:line="280" w:lineRule="exact"/>
        <w:jc w:val="both"/>
      </w:pPr>
      <w:r w:rsidRPr="00F00E78">
        <w:t>Kanalizační potrubí libovolné reakce na oheň</w:t>
      </w:r>
    </w:p>
    <w:p w14:paraId="2AEA44E9" w14:textId="77777777" w:rsidR="00F00E78" w:rsidRPr="00F00E78" w:rsidRDefault="009604CE" w:rsidP="00F00E78">
      <w:pPr>
        <w:numPr>
          <w:ilvl w:val="1"/>
          <w:numId w:val="16"/>
        </w:numPr>
        <w:spacing w:line="280" w:lineRule="exact"/>
        <w:jc w:val="both"/>
      </w:pPr>
      <w:r w:rsidRPr="00F00E78">
        <w:t>Potrubí s trvalou náplní vody (teplá/studená, topení, chlazení…) třídy reakce na oheň B až F průměru nad 30 mm</w:t>
      </w:r>
    </w:p>
    <w:p w14:paraId="7862581D" w14:textId="77777777" w:rsidR="00F00E78" w:rsidRPr="00F00E78" w:rsidRDefault="009604CE" w:rsidP="00F00E78">
      <w:pPr>
        <w:numPr>
          <w:ilvl w:val="1"/>
          <w:numId w:val="16"/>
        </w:numPr>
        <w:spacing w:line="280" w:lineRule="exact"/>
        <w:jc w:val="both"/>
      </w:pPr>
      <w:r w:rsidRPr="00F00E78">
        <w:t>Potrubí s jinou nehořlavou látkou s libovolnou třídou reakce na oheň</w:t>
      </w:r>
    </w:p>
    <w:p w14:paraId="6FDB3696" w14:textId="77777777" w:rsidR="00F00E78" w:rsidRPr="00F00E78" w:rsidRDefault="009604CE" w:rsidP="00F00E78">
      <w:pPr>
        <w:numPr>
          <w:ilvl w:val="0"/>
          <w:numId w:val="16"/>
        </w:numPr>
        <w:spacing w:line="280" w:lineRule="exact"/>
        <w:jc w:val="both"/>
      </w:pPr>
      <w:r w:rsidRPr="00F00E78">
        <w:t>Dotěsněním (např. dozděním, dobetonováním) hmotami třídy reakce na oheň A1 nebo A2 v celé tloušťce konstrukce, pokud se jedná o:</w:t>
      </w:r>
    </w:p>
    <w:p w14:paraId="47CA019E" w14:textId="77777777" w:rsidR="00F00E78" w:rsidRPr="00F00E78" w:rsidRDefault="009604CE" w:rsidP="00F00E78">
      <w:pPr>
        <w:numPr>
          <w:ilvl w:val="1"/>
          <w:numId w:val="16"/>
        </w:numPr>
        <w:spacing w:line="280" w:lineRule="exact"/>
        <w:jc w:val="both"/>
      </w:pPr>
      <w:r w:rsidRPr="00F00E78">
        <w:t xml:space="preserve">Prostup zděnou nebo betonovou konstrukcí a jedná se maximálně o 3 potrubí s trvalou náplní vody nebo jinou nehořlavou kapalinu. Potrubí musí být třídy </w:t>
      </w:r>
      <w:r w:rsidRPr="00F00E78">
        <w:lastRenderedPageBreak/>
        <w:t>reakce na oheň A1 nebo A2 (bez požadavku na průměr) nebo o vnějším průměru maximálně 30 mm bez omezení. Případné izolace potrubí v místě prostupů musí být nehořlavé (třída reakce na oheň A1 nebo A2) a to s přesahem minimálně 500 mm na obě strany konstrukce</w:t>
      </w:r>
    </w:p>
    <w:p w14:paraId="2BACDE3F" w14:textId="77777777" w:rsidR="00F00E78" w:rsidRPr="00F00E78" w:rsidRDefault="009604CE" w:rsidP="00F00E78">
      <w:pPr>
        <w:numPr>
          <w:ilvl w:val="1"/>
          <w:numId w:val="16"/>
        </w:numPr>
        <w:spacing w:line="280" w:lineRule="exact"/>
        <w:jc w:val="both"/>
      </w:pPr>
      <w:r w:rsidRPr="00F00E78">
        <w:rPr>
          <w:noProof/>
        </w:rPr>
        <w:drawing>
          <wp:anchor distT="0" distB="0" distL="114300" distR="114300" simplePos="0" relativeHeight="251658240" behindDoc="0" locked="0" layoutInCell="1" allowOverlap="1" wp14:anchorId="2AFE30D4" wp14:editId="74A3F899">
            <wp:simplePos x="0" y="0"/>
            <wp:positionH relativeFrom="column">
              <wp:posOffset>1280160</wp:posOffset>
            </wp:positionH>
            <wp:positionV relativeFrom="paragraph">
              <wp:posOffset>694690</wp:posOffset>
            </wp:positionV>
            <wp:extent cx="3459480" cy="1656080"/>
            <wp:effectExtent l="0" t="0" r="7620" b="1270"/>
            <wp:wrapTopAndBottom/>
            <wp:docPr id="165830975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95914" name="Obrázek 1"/>
                    <pic:cNvPicPr>
                      <a:picLocks noChangeAspect="1" noChangeArrowheads="1"/>
                    </pic:cNvPicPr>
                  </pic:nvPicPr>
                  <pic:blipFill>
                    <a:blip r:embed="rId9">
                      <a:extLst>
                        <a:ext uri="{28A0092B-C50C-407E-A947-70E740481C1C}">
                          <a14:useLocalDpi xmlns:a14="http://schemas.microsoft.com/office/drawing/2010/main" val="0"/>
                        </a:ext>
                      </a:extLst>
                    </a:blip>
                    <a:srcRect t="5725"/>
                    <a:stretch>
                      <a:fillRect/>
                    </a:stretch>
                  </pic:blipFill>
                  <pic:spPr bwMode="auto">
                    <a:xfrm>
                      <a:off x="0" y="0"/>
                      <a:ext cx="3459480" cy="1656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0E78">
        <w:t>Nejbližší potrubí musí být od svazku vzdáleno nejméně 500 mm. Pokud PDK prostupuje více než 3 potrubí vedle sebe a jejich vzdálenost je menší než 500 mm, musí být čtvrtý a další prostup utěsněn požární ucpávkou</w:t>
      </w:r>
    </w:p>
    <w:p w14:paraId="21D6D42E" w14:textId="77777777" w:rsidR="00F00E78" w:rsidRPr="00F00E78" w:rsidRDefault="00F00E78" w:rsidP="00F00E78">
      <w:pPr>
        <w:ind w:left="1080"/>
      </w:pPr>
    </w:p>
    <w:p w14:paraId="4996B284" w14:textId="77777777" w:rsidR="00F00E78" w:rsidRPr="00F00E78" w:rsidRDefault="009604CE" w:rsidP="00F00E78">
      <w:pPr>
        <w:spacing w:after="120"/>
      </w:pPr>
      <w:r w:rsidRPr="00F00E78">
        <w:t>Požární ucpávky budou zřetelně označeny štítkem obsahující informace o požární odolnosti, druhu nebo typu ucpávky, datu provedení, firmě, adrese a jméně zhotovitele, označení výrobce systému.</w:t>
      </w:r>
    </w:p>
    <w:p w14:paraId="354B4892" w14:textId="77777777" w:rsidR="00F00E78" w:rsidRPr="00F00E78" w:rsidRDefault="009604CE" w:rsidP="00F00E78">
      <w:pPr>
        <w:pStyle w:val="Bezmezer"/>
        <w:rPr>
          <w:rFonts w:ascii="Times New Roman" w:hAnsi="Times New Roman" w:cs="Times New Roman"/>
          <w:sz w:val="24"/>
          <w:szCs w:val="24"/>
        </w:rPr>
      </w:pPr>
      <w:r w:rsidRPr="00F00E78">
        <w:rPr>
          <w:rFonts w:ascii="Times New Roman" w:hAnsi="Times New Roman" w:cs="Times New Roman"/>
          <w:sz w:val="24"/>
          <w:szCs w:val="24"/>
          <w:u w:val="single"/>
        </w:rPr>
        <w:t>Rozvody hořlavých látek</w:t>
      </w:r>
    </w:p>
    <w:p w14:paraId="242BE1FB" w14:textId="77777777" w:rsidR="00F00E78" w:rsidRPr="00F00E78" w:rsidRDefault="009604CE" w:rsidP="00F00E78">
      <w:pPr>
        <w:pStyle w:val="Bezmezer"/>
        <w:rPr>
          <w:rFonts w:ascii="Times New Roman" w:hAnsi="Times New Roman" w:cs="Times New Roman"/>
          <w:sz w:val="24"/>
          <w:szCs w:val="24"/>
        </w:rPr>
      </w:pPr>
      <w:r w:rsidRPr="00F00E78">
        <w:rPr>
          <w:rFonts w:ascii="Times New Roman" w:hAnsi="Times New Roman" w:cs="Times New Roman"/>
          <w:sz w:val="24"/>
          <w:szCs w:val="24"/>
        </w:rPr>
        <w:t>Rozvodná potrubí a jejich příslušenství, sloužící k rozvodu hořlavých látek (např. plynů a kapalin) pro technická a technologická zařízení nevýrobních stavebních objektů, musí být provedeny podle níže uvedených požadavků:</w:t>
      </w:r>
    </w:p>
    <w:p w14:paraId="428924F6" w14:textId="77777777" w:rsidR="00F00E78" w:rsidRPr="00F00E78" w:rsidRDefault="009604CE" w:rsidP="00F00E78">
      <w:pPr>
        <w:pStyle w:val="Bezmezer"/>
        <w:widowControl/>
        <w:numPr>
          <w:ilvl w:val="0"/>
          <w:numId w:val="17"/>
        </w:numPr>
        <w:suppressAutoHyphens w:val="0"/>
        <w:autoSpaceDN/>
        <w:spacing w:line="276" w:lineRule="auto"/>
        <w:ind w:left="0" w:firstLine="0"/>
        <w:jc w:val="both"/>
        <w:textAlignment w:val="auto"/>
        <w:rPr>
          <w:rFonts w:ascii="Times New Roman" w:hAnsi="Times New Roman" w:cs="Times New Roman"/>
          <w:sz w:val="24"/>
          <w:szCs w:val="24"/>
        </w:rPr>
      </w:pPr>
      <w:r w:rsidRPr="00F00E78">
        <w:rPr>
          <w:rFonts w:ascii="Times New Roman" w:hAnsi="Times New Roman" w:cs="Times New Roman"/>
          <w:sz w:val="24"/>
          <w:szCs w:val="24"/>
        </w:rPr>
        <w:t>Rozvodná potrubí světlého průřezu do 750 mm</w:t>
      </w:r>
      <w:r w:rsidRPr="00F00E78">
        <w:rPr>
          <w:rFonts w:ascii="Times New Roman" w:hAnsi="Times New Roman" w:cs="Times New Roman"/>
          <w:sz w:val="24"/>
          <w:szCs w:val="24"/>
          <w:vertAlign w:val="superscript"/>
        </w:rPr>
        <w:t>2</w:t>
      </w:r>
      <w:r w:rsidRPr="00F00E78">
        <w:rPr>
          <w:rFonts w:ascii="Times New Roman" w:hAnsi="Times New Roman" w:cs="Times New Roman"/>
          <w:sz w:val="24"/>
          <w:szCs w:val="24"/>
        </w:rPr>
        <w:t>, resp. do průměru 30 mm vč. mohou být pro hořlavé kapaliny z výrobků třídy reakce na oheň A1-B; v případě hořlavých plynů musí rozvodné potrubí splňovat požadavky podle ČSN EN 1775; v obou případech musí být při požáru spolehlivě zabráněno úniku hořlavých látek mimo rozvodné potrubí (např. požární pojistkou, požárním krytem apod.)</w:t>
      </w:r>
    </w:p>
    <w:p w14:paraId="225BD5D9" w14:textId="77777777" w:rsidR="00F00E78" w:rsidRPr="00F00E78" w:rsidRDefault="009604CE" w:rsidP="00F00E78">
      <w:pPr>
        <w:pStyle w:val="Bezmezer"/>
        <w:widowControl/>
        <w:numPr>
          <w:ilvl w:val="0"/>
          <w:numId w:val="17"/>
        </w:numPr>
        <w:suppressAutoHyphens w:val="0"/>
        <w:autoSpaceDN/>
        <w:spacing w:line="276" w:lineRule="auto"/>
        <w:ind w:left="0" w:firstLine="0"/>
        <w:jc w:val="both"/>
        <w:textAlignment w:val="auto"/>
        <w:rPr>
          <w:rFonts w:ascii="Times New Roman" w:hAnsi="Times New Roman" w:cs="Times New Roman"/>
          <w:sz w:val="24"/>
          <w:szCs w:val="24"/>
        </w:rPr>
      </w:pPr>
      <w:r w:rsidRPr="00F00E78">
        <w:rPr>
          <w:rFonts w:ascii="Times New Roman" w:hAnsi="Times New Roman" w:cs="Times New Roman"/>
          <w:sz w:val="24"/>
          <w:szCs w:val="24"/>
        </w:rPr>
        <w:t>Rozvodná potrubí světlého průřezu nad 750 mm</w:t>
      </w:r>
      <w:r w:rsidRPr="00F00E78">
        <w:rPr>
          <w:rFonts w:ascii="Times New Roman" w:hAnsi="Times New Roman" w:cs="Times New Roman"/>
          <w:sz w:val="24"/>
          <w:szCs w:val="24"/>
          <w:vertAlign w:val="superscript"/>
        </w:rPr>
        <w:t>2</w:t>
      </w:r>
      <w:r w:rsidRPr="00F00E78">
        <w:rPr>
          <w:rFonts w:ascii="Times New Roman" w:hAnsi="Times New Roman" w:cs="Times New Roman"/>
          <w:sz w:val="24"/>
          <w:szCs w:val="24"/>
        </w:rPr>
        <w:t xml:space="preserve"> nejsou navržena</w:t>
      </w:r>
    </w:p>
    <w:p w14:paraId="3827AF90" w14:textId="77777777" w:rsidR="00F00E78" w:rsidRPr="00F00E78" w:rsidRDefault="009604CE" w:rsidP="00F00E78">
      <w:pPr>
        <w:pStyle w:val="Bezmezer"/>
        <w:rPr>
          <w:rFonts w:ascii="Times New Roman" w:hAnsi="Times New Roman" w:cs="Times New Roman"/>
          <w:sz w:val="24"/>
          <w:szCs w:val="24"/>
        </w:rPr>
      </w:pPr>
      <w:r w:rsidRPr="00F00E78">
        <w:rPr>
          <w:rFonts w:ascii="Times New Roman" w:hAnsi="Times New Roman" w:cs="Times New Roman"/>
          <w:sz w:val="24"/>
          <w:szCs w:val="24"/>
        </w:rPr>
        <w:t>V objektu je jako jediná hořlavá látka veden plyn. V případě plynovodů musí být splněny požadavky vycházející z TPG 704 01 – těsnění prostupu plynovodu ochrannou trubkou nebo chráničkou se zajišťuje pomocí tmelů a jiných výrobků, jejichž požadovaná odolnost je určena odolností požárně dělící konstrukce; za postačující se považuje odolnost do 90 minut.</w:t>
      </w:r>
    </w:p>
    <w:p w14:paraId="6586F6F6" w14:textId="77777777" w:rsidR="00323485" w:rsidRPr="007E3AEB" w:rsidRDefault="009604CE" w:rsidP="007428D8">
      <w:pPr>
        <w:pStyle w:val="Textnormy"/>
        <w:numPr>
          <w:ilvl w:val="0"/>
          <w:numId w:val="6"/>
        </w:numPr>
        <w:tabs>
          <w:tab w:val="clear" w:pos="284"/>
          <w:tab w:val="left" w:pos="0"/>
        </w:tabs>
        <w:spacing w:before="120" w:after="0"/>
        <w:ind w:left="0" w:firstLine="0"/>
        <w:rPr>
          <w:rFonts w:ascii="Times New Roman" w:eastAsia="Times New Roman" w:hAnsi="Times New Roman"/>
          <w:i/>
          <w:sz w:val="24"/>
          <w:szCs w:val="24"/>
          <w:u w:val="single"/>
          <w:lang w:eastAsia="cs-CZ"/>
        </w:rPr>
      </w:pPr>
      <w:r w:rsidRPr="007E3AEB">
        <w:rPr>
          <w:rFonts w:ascii="Times New Roman" w:eastAsia="Times New Roman" w:hAnsi="Times New Roman"/>
          <w:i/>
          <w:sz w:val="24"/>
          <w:szCs w:val="24"/>
          <w:u w:val="single"/>
          <w:lang w:eastAsia="cs-CZ"/>
        </w:rPr>
        <w:t>nově instalované vzduchotechnické zařízení v objektech dělených či nedělených</w:t>
      </w:r>
      <w:r w:rsidR="00C321CD">
        <w:rPr>
          <w:rFonts w:ascii="Times New Roman" w:eastAsia="Times New Roman" w:hAnsi="Times New Roman"/>
          <w:i/>
          <w:sz w:val="24"/>
          <w:szCs w:val="24"/>
          <w:u w:val="single"/>
          <w:lang w:eastAsia="cs-CZ"/>
        </w:rPr>
        <w:br/>
      </w:r>
      <w:r w:rsidRPr="007E3AEB">
        <w:rPr>
          <w:rFonts w:ascii="Times New Roman" w:eastAsia="Times New Roman" w:hAnsi="Times New Roman"/>
          <w:i/>
          <w:sz w:val="24"/>
          <w:szCs w:val="24"/>
          <w:u w:val="single"/>
          <w:lang w:eastAsia="cs-CZ"/>
        </w:rPr>
        <w:t>na požární úseky, nebo v částech objektu nedotčených změnou stavby bude provedeno podle</w:t>
      </w:r>
      <w:r w:rsidRPr="007E3AEB">
        <w:rPr>
          <w:rFonts w:ascii="Times New Roman" w:eastAsia="Times New Roman" w:hAnsi="Times New Roman"/>
          <w:i/>
          <w:sz w:val="24"/>
          <w:szCs w:val="24"/>
          <w:u w:val="single"/>
          <w:lang w:eastAsia="cs-CZ"/>
        </w:rPr>
        <w:br/>
        <w:t>ČSN 73 0872; nově instalované vzduchotechnické rozvody v částech objektu nedotčených změnou stavby nebo nečleněných na požární úseky nesmí být z výrobků třídy reakce na oheň B až F;</w:t>
      </w:r>
    </w:p>
    <w:p w14:paraId="05BD186F" w14:textId="4DEEF231" w:rsidR="00F00E78" w:rsidRPr="00F00E78" w:rsidRDefault="009604CE" w:rsidP="00F00E78">
      <w:pPr>
        <w:spacing w:before="120" w:after="120"/>
      </w:pPr>
      <w:r w:rsidRPr="00F00E78">
        <w:t xml:space="preserve">VZT zařízení musí odpovídat ČSN 73 0872. </w:t>
      </w:r>
    </w:p>
    <w:p w14:paraId="425EFE5D" w14:textId="77777777" w:rsidR="00F00E78" w:rsidRPr="00F00E78" w:rsidRDefault="009604CE" w:rsidP="00F00E78">
      <w:pPr>
        <w:pStyle w:val="Bezmezer"/>
        <w:spacing w:after="120"/>
        <w:rPr>
          <w:rFonts w:ascii="Times New Roman" w:hAnsi="Times New Roman" w:cs="Times New Roman"/>
          <w:sz w:val="24"/>
          <w:szCs w:val="24"/>
        </w:rPr>
      </w:pPr>
      <w:r w:rsidRPr="00F00E78">
        <w:rPr>
          <w:rFonts w:ascii="Times New Roman" w:hAnsi="Times New Roman" w:cs="Times New Roman"/>
          <w:sz w:val="24"/>
          <w:szCs w:val="24"/>
        </w:rPr>
        <w:t xml:space="preserve">Chráněné potrubí bude použito při prostupu vzduchotechnického potrubí sousedním požárním úsekem, a to s odolností dle požárního úseku, jímž prochází dle tabulky níže (za předpokladu, že na potrubí nebudou vyústky). </w:t>
      </w:r>
    </w:p>
    <w:p w14:paraId="51511DC9" w14:textId="77777777" w:rsidR="00F00E78" w:rsidRPr="00F00E78" w:rsidRDefault="009604CE" w:rsidP="00F00E78">
      <w:pPr>
        <w:pStyle w:val="Bezmezer"/>
        <w:rPr>
          <w:rFonts w:ascii="Times New Roman" w:hAnsi="Times New Roman" w:cs="Times New Roman"/>
          <w:sz w:val="24"/>
          <w:szCs w:val="24"/>
        </w:rPr>
      </w:pPr>
      <w:r w:rsidRPr="00F00E78">
        <w:rPr>
          <w:rFonts w:ascii="Times New Roman" w:hAnsi="Times New Roman" w:cs="Times New Roman"/>
          <w:sz w:val="24"/>
          <w:szCs w:val="24"/>
        </w:rPr>
        <w:t xml:space="preserve">Nechráněná vzduchotechnická potrubí (všech průřezů), která z prostorů obsahujících požární riziko prostupují konstrukcemi vymezující shromažďovací prostory nebo na ně navazující únikové cesty všech typů, musí být v místě prostupu zabezpečena požárními klapkami </w:t>
      </w:r>
      <w:r w:rsidRPr="00F00E78">
        <w:rPr>
          <w:rFonts w:ascii="Times New Roman" w:hAnsi="Times New Roman" w:cs="Times New Roman"/>
          <w:sz w:val="24"/>
          <w:szCs w:val="24"/>
        </w:rPr>
        <w:lastRenderedPageBreak/>
        <w:t>ovládanými zařízením elektrické požární signalizace.</w:t>
      </w:r>
    </w:p>
    <w:p w14:paraId="2FF0865B" w14:textId="77777777" w:rsidR="00F00E78" w:rsidRPr="00F00E78" w:rsidRDefault="009604CE" w:rsidP="00F00E78">
      <w:pPr>
        <w:spacing w:before="120" w:after="120"/>
      </w:pPr>
      <w:r w:rsidRPr="00F00E78">
        <w:t>V případě prostupu VZT potrubí PDK musí být tento prostup utěsněn požární ucpávkou s požární odolností stejnou, jako má PDK. Za vyhovující lze považovat požární odolnost do EI 90 DP1. Požární ucpávky budou zřetelně označeny štítkem obsahující informace o požární odolnosti, druhu nebo typu ucpávky, datu provedení, firmě, adrese a jméně zhotovitele, označení výrobce systému.</w:t>
      </w:r>
    </w:p>
    <w:p w14:paraId="395F1ED6" w14:textId="77777777" w:rsidR="00F00E78" w:rsidRPr="00F00E78" w:rsidRDefault="009604CE" w:rsidP="00F00E78">
      <w:pPr>
        <w:spacing w:before="120" w:after="120"/>
      </w:pPr>
      <w:r w:rsidRPr="00F00E78">
        <w:t>Prostup vzduchotechnické potrubí nemusí být osazen požární klapkou v případě, že průřez prostupujícího potrubí má plochu nejvýše 40 000 mm</w:t>
      </w:r>
      <w:r w:rsidRPr="00F00E78">
        <w:rPr>
          <w:vertAlign w:val="superscript"/>
        </w:rPr>
        <w:t>2</w:t>
      </w:r>
      <w:r w:rsidRPr="00F00E78">
        <w:t xml:space="preserve"> a jednotlivé prostupy nemají ve svém souhrnu plochu větší než 1/100 plochy PDK a vzdálenost prostupů je alespoň 500 mm.</w:t>
      </w:r>
    </w:p>
    <w:p w14:paraId="112EC00D" w14:textId="77777777" w:rsidR="00F00E78" w:rsidRPr="00F00E78" w:rsidRDefault="009604CE" w:rsidP="00F00E78">
      <w:pPr>
        <w:spacing w:before="120" w:after="120"/>
      </w:pPr>
      <w:r w:rsidRPr="00F00E78">
        <w:t>Pokud je vzdálenost mezi prostupy VZT potrubí menší než 500 mm, musí být v jednom potrubí instalována požární klapka nebo musí být jedno potrubí provedeno jako chráněné (obalené tepelnou izolací). V souladu s ČSN 73 0872 nesmí být na chráněné potrubí osazeny vyústky.</w:t>
      </w:r>
    </w:p>
    <w:p w14:paraId="498A7110" w14:textId="77777777" w:rsidR="00F00E78" w:rsidRPr="00F00E78" w:rsidRDefault="009604CE" w:rsidP="00F00E78">
      <w:pPr>
        <w:spacing w:before="120" w:after="120"/>
        <w:rPr>
          <w:b/>
        </w:rPr>
      </w:pPr>
      <w:r w:rsidRPr="00F00E78">
        <w:rPr>
          <w:b/>
        </w:rPr>
        <w:t>Požární klapky</w:t>
      </w:r>
    </w:p>
    <w:p w14:paraId="5F205172" w14:textId="77777777" w:rsidR="00F00E78" w:rsidRPr="00F00E78" w:rsidRDefault="009604CE" w:rsidP="00F00E78">
      <w:pPr>
        <w:spacing w:before="120" w:after="120"/>
      </w:pPr>
      <w:r w:rsidRPr="00F00E78">
        <w:t>Požární klapky budou provedeny z materiálu třídy reakce na oheň A1 nebo A2. Požární klapka se musí uzavírat samočinně. Uzavírání bude ovládáno a monitorováno pomocí EPS pokud v PÚ bude instalována EPS, jinak samočinně na základě tepelné pojistky.</w:t>
      </w:r>
    </w:p>
    <w:p w14:paraId="75E16C0F" w14:textId="77777777" w:rsidR="00F00E78" w:rsidRPr="00F00E78" w:rsidRDefault="009604CE" w:rsidP="00F00E78">
      <w:pPr>
        <w:spacing w:before="120" w:after="120"/>
      </w:pPr>
      <w:r w:rsidRPr="00F00E78">
        <w:t>Požární odolnost požárních klapek a chráněného vzduchotechnického potrubí je vypsána v tabulce níže.</w:t>
      </w:r>
    </w:p>
    <w:tbl>
      <w:tblPr>
        <w:tblW w:w="8030" w:type="dxa"/>
        <w:jc w:val="center"/>
        <w:tblCellMar>
          <w:left w:w="70" w:type="dxa"/>
          <w:right w:w="70" w:type="dxa"/>
        </w:tblCellMar>
        <w:tblLook w:val="04A0" w:firstRow="1" w:lastRow="0" w:firstColumn="1" w:lastColumn="0" w:noHBand="0" w:noVBand="1"/>
      </w:tblPr>
      <w:tblGrid>
        <w:gridCol w:w="2218"/>
        <w:gridCol w:w="678"/>
        <w:gridCol w:w="740"/>
        <w:gridCol w:w="850"/>
        <w:gridCol w:w="851"/>
        <w:gridCol w:w="850"/>
        <w:gridCol w:w="851"/>
        <w:gridCol w:w="992"/>
      </w:tblGrid>
      <w:tr w:rsidR="00CB769A" w14:paraId="771879B7" w14:textId="77777777" w:rsidTr="00AE095F">
        <w:trPr>
          <w:trHeight w:val="318"/>
          <w:jc w:val="center"/>
        </w:trPr>
        <w:tc>
          <w:tcPr>
            <w:tcW w:w="2218" w:type="dxa"/>
            <w:tcBorders>
              <w:top w:val="single" w:sz="4" w:space="0" w:color="auto"/>
              <w:left w:val="single" w:sz="4" w:space="0" w:color="auto"/>
              <w:bottom w:val="double" w:sz="6" w:space="0" w:color="auto"/>
              <w:right w:val="single" w:sz="4" w:space="0" w:color="auto"/>
            </w:tcBorders>
            <w:shd w:val="clear" w:color="000000" w:fill="BFBFBF"/>
            <w:vAlign w:val="center"/>
            <w:hideMark/>
          </w:tcPr>
          <w:p w14:paraId="63FB7FFF" w14:textId="77777777" w:rsidR="00F00E78" w:rsidRPr="00F00E78" w:rsidRDefault="009604CE" w:rsidP="00AE095F">
            <w:pPr>
              <w:jc w:val="center"/>
              <w:rPr>
                <w:color w:val="000000"/>
              </w:rPr>
            </w:pPr>
            <w:r w:rsidRPr="00F00E78">
              <w:rPr>
                <w:color w:val="000000"/>
              </w:rPr>
              <w:t>SPB požárního úseku</w:t>
            </w:r>
          </w:p>
        </w:tc>
        <w:tc>
          <w:tcPr>
            <w:tcW w:w="678" w:type="dxa"/>
            <w:tcBorders>
              <w:top w:val="single" w:sz="4" w:space="0" w:color="auto"/>
              <w:left w:val="nil"/>
              <w:bottom w:val="double" w:sz="6" w:space="0" w:color="auto"/>
              <w:right w:val="single" w:sz="4" w:space="0" w:color="auto"/>
            </w:tcBorders>
            <w:shd w:val="clear" w:color="000000" w:fill="BFBFBF"/>
            <w:vAlign w:val="center"/>
            <w:hideMark/>
          </w:tcPr>
          <w:p w14:paraId="426A3FEA" w14:textId="77777777" w:rsidR="00F00E78" w:rsidRPr="00F00E78" w:rsidRDefault="009604CE" w:rsidP="00AE095F">
            <w:pPr>
              <w:jc w:val="center"/>
              <w:rPr>
                <w:color w:val="000000"/>
              </w:rPr>
            </w:pPr>
            <w:r w:rsidRPr="00F00E78">
              <w:rPr>
                <w:color w:val="000000"/>
              </w:rPr>
              <w:t>I.</w:t>
            </w:r>
          </w:p>
        </w:tc>
        <w:tc>
          <w:tcPr>
            <w:tcW w:w="740" w:type="dxa"/>
            <w:tcBorders>
              <w:top w:val="single" w:sz="4" w:space="0" w:color="auto"/>
              <w:left w:val="nil"/>
              <w:bottom w:val="double" w:sz="6" w:space="0" w:color="auto"/>
              <w:right w:val="single" w:sz="4" w:space="0" w:color="auto"/>
            </w:tcBorders>
            <w:shd w:val="clear" w:color="000000" w:fill="BFBFBF"/>
            <w:vAlign w:val="center"/>
          </w:tcPr>
          <w:p w14:paraId="0122CB87" w14:textId="77777777" w:rsidR="00F00E78" w:rsidRPr="00F00E78" w:rsidRDefault="009604CE" w:rsidP="00AE095F">
            <w:pPr>
              <w:jc w:val="center"/>
              <w:rPr>
                <w:color w:val="000000"/>
              </w:rPr>
            </w:pPr>
            <w:r w:rsidRPr="00F00E78">
              <w:rPr>
                <w:color w:val="000000"/>
              </w:rPr>
              <w:t>II.</w:t>
            </w:r>
          </w:p>
        </w:tc>
        <w:tc>
          <w:tcPr>
            <w:tcW w:w="850" w:type="dxa"/>
            <w:tcBorders>
              <w:top w:val="single" w:sz="4" w:space="0" w:color="auto"/>
              <w:left w:val="nil"/>
              <w:bottom w:val="double" w:sz="6" w:space="0" w:color="auto"/>
              <w:right w:val="single" w:sz="4" w:space="0" w:color="auto"/>
            </w:tcBorders>
            <w:shd w:val="clear" w:color="000000" w:fill="BFBFBF"/>
            <w:vAlign w:val="center"/>
          </w:tcPr>
          <w:p w14:paraId="2EE6B384" w14:textId="77777777" w:rsidR="00F00E78" w:rsidRPr="00F00E78" w:rsidRDefault="009604CE" w:rsidP="00AE095F">
            <w:pPr>
              <w:jc w:val="center"/>
              <w:rPr>
                <w:color w:val="000000"/>
              </w:rPr>
            </w:pPr>
            <w:r w:rsidRPr="00F00E78">
              <w:rPr>
                <w:color w:val="000000"/>
              </w:rPr>
              <w:t>III.</w:t>
            </w:r>
          </w:p>
        </w:tc>
        <w:tc>
          <w:tcPr>
            <w:tcW w:w="851" w:type="dxa"/>
            <w:tcBorders>
              <w:top w:val="single" w:sz="4" w:space="0" w:color="auto"/>
              <w:left w:val="nil"/>
              <w:bottom w:val="double" w:sz="6" w:space="0" w:color="auto"/>
              <w:right w:val="single" w:sz="4" w:space="0" w:color="auto"/>
            </w:tcBorders>
            <w:shd w:val="clear" w:color="000000" w:fill="BFBFBF"/>
            <w:vAlign w:val="center"/>
          </w:tcPr>
          <w:p w14:paraId="63818EA4" w14:textId="77777777" w:rsidR="00F00E78" w:rsidRPr="00F00E78" w:rsidRDefault="009604CE" w:rsidP="00AE095F">
            <w:pPr>
              <w:jc w:val="center"/>
              <w:rPr>
                <w:color w:val="000000"/>
              </w:rPr>
            </w:pPr>
            <w:r w:rsidRPr="00F00E78">
              <w:rPr>
                <w:color w:val="000000"/>
              </w:rPr>
              <w:t>IV.</w:t>
            </w:r>
          </w:p>
        </w:tc>
        <w:tc>
          <w:tcPr>
            <w:tcW w:w="850" w:type="dxa"/>
            <w:tcBorders>
              <w:top w:val="single" w:sz="4" w:space="0" w:color="auto"/>
              <w:left w:val="nil"/>
              <w:bottom w:val="double" w:sz="6" w:space="0" w:color="auto"/>
              <w:right w:val="single" w:sz="4" w:space="0" w:color="auto"/>
            </w:tcBorders>
            <w:shd w:val="clear" w:color="000000" w:fill="BFBFBF"/>
            <w:vAlign w:val="center"/>
          </w:tcPr>
          <w:p w14:paraId="7C4A1E0D" w14:textId="77777777" w:rsidR="00F00E78" w:rsidRPr="00F00E78" w:rsidRDefault="009604CE" w:rsidP="00AE095F">
            <w:pPr>
              <w:jc w:val="center"/>
              <w:rPr>
                <w:color w:val="000000"/>
              </w:rPr>
            </w:pPr>
            <w:r w:rsidRPr="00F00E78">
              <w:rPr>
                <w:color w:val="000000"/>
              </w:rPr>
              <w:t>V.</w:t>
            </w:r>
          </w:p>
        </w:tc>
        <w:tc>
          <w:tcPr>
            <w:tcW w:w="851" w:type="dxa"/>
            <w:tcBorders>
              <w:top w:val="single" w:sz="4" w:space="0" w:color="auto"/>
              <w:left w:val="nil"/>
              <w:bottom w:val="double" w:sz="6" w:space="0" w:color="auto"/>
              <w:right w:val="single" w:sz="4" w:space="0" w:color="auto"/>
            </w:tcBorders>
            <w:shd w:val="clear" w:color="000000" w:fill="BFBFBF"/>
            <w:vAlign w:val="center"/>
          </w:tcPr>
          <w:p w14:paraId="426FD39B" w14:textId="77777777" w:rsidR="00F00E78" w:rsidRPr="00F00E78" w:rsidRDefault="009604CE" w:rsidP="00AE095F">
            <w:pPr>
              <w:jc w:val="center"/>
              <w:rPr>
                <w:color w:val="000000"/>
              </w:rPr>
            </w:pPr>
            <w:r w:rsidRPr="00F00E78">
              <w:rPr>
                <w:color w:val="000000"/>
              </w:rPr>
              <w:t>VI.</w:t>
            </w:r>
          </w:p>
        </w:tc>
        <w:tc>
          <w:tcPr>
            <w:tcW w:w="992" w:type="dxa"/>
            <w:tcBorders>
              <w:top w:val="single" w:sz="4" w:space="0" w:color="auto"/>
              <w:left w:val="nil"/>
              <w:bottom w:val="double" w:sz="6" w:space="0" w:color="auto"/>
              <w:right w:val="single" w:sz="4" w:space="0" w:color="auto"/>
            </w:tcBorders>
            <w:shd w:val="clear" w:color="000000" w:fill="BFBFBF"/>
            <w:vAlign w:val="center"/>
          </w:tcPr>
          <w:p w14:paraId="5715B6F3" w14:textId="77777777" w:rsidR="00F00E78" w:rsidRPr="00F00E78" w:rsidRDefault="009604CE" w:rsidP="00AE095F">
            <w:pPr>
              <w:jc w:val="center"/>
              <w:rPr>
                <w:color w:val="000000"/>
              </w:rPr>
            </w:pPr>
            <w:r w:rsidRPr="00F00E78">
              <w:rPr>
                <w:color w:val="000000"/>
              </w:rPr>
              <w:t>VII.</w:t>
            </w:r>
          </w:p>
        </w:tc>
      </w:tr>
      <w:tr w:rsidR="00CB769A" w14:paraId="57412478" w14:textId="77777777" w:rsidTr="00AE095F">
        <w:trPr>
          <w:trHeight w:val="315"/>
          <w:jc w:val="center"/>
        </w:trPr>
        <w:tc>
          <w:tcPr>
            <w:tcW w:w="2218" w:type="dxa"/>
            <w:tcBorders>
              <w:top w:val="nil"/>
              <w:left w:val="single" w:sz="4" w:space="0" w:color="auto"/>
              <w:bottom w:val="single" w:sz="4" w:space="0" w:color="auto"/>
              <w:right w:val="single" w:sz="4" w:space="0" w:color="auto"/>
            </w:tcBorders>
            <w:shd w:val="clear" w:color="auto" w:fill="auto"/>
            <w:vAlign w:val="center"/>
            <w:hideMark/>
          </w:tcPr>
          <w:p w14:paraId="010261D6" w14:textId="77777777" w:rsidR="00F00E78" w:rsidRPr="00F00E78" w:rsidRDefault="009604CE" w:rsidP="00AE095F">
            <w:pPr>
              <w:jc w:val="center"/>
              <w:rPr>
                <w:color w:val="000000"/>
              </w:rPr>
            </w:pPr>
            <w:r w:rsidRPr="00F00E78">
              <w:rPr>
                <w:color w:val="000000"/>
              </w:rPr>
              <w:t>Požární odolnost VZT zařízení [min]</w:t>
            </w:r>
          </w:p>
        </w:tc>
        <w:tc>
          <w:tcPr>
            <w:tcW w:w="678" w:type="dxa"/>
            <w:tcBorders>
              <w:top w:val="nil"/>
              <w:left w:val="nil"/>
              <w:bottom w:val="single" w:sz="4" w:space="0" w:color="auto"/>
              <w:right w:val="single" w:sz="4" w:space="0" w:color="auto"/>
            </w:tcBorders>
            <w:shd w:val="clear" w:color="auto" w:fill="auto"/>
            <w:vAlign w:val="center"/>
            <w:hideMark/>
          </w:tcPr>
          <w:p w14:paraId="53700810" w14:textId="77777777" w:rsidR="00F00E78" w:rsidRPr="00F00E78" w:rsidRDefault="009604CE" w:rsidP="00AE095F">
            <w:pPr>
              <w:jc w:val="center"/>
              <w:rPr>
                <w:color w:val="000000"/>
              </w:rPr>
            </w:pPr>
            <w:r w:rsidRPr="00F00E78">
              <w:rPr>
                <w:color w:val="000000"/>
              </w:rPr>
              <w:t>15</w:t>
            </w:r>
          </w:p>
        </w:tc>
        <w:tc>
          <w:tcPr>
            <w:tcW w:w="740" w:type="dxa"/>
            <w:tcBorders>
              <w:top w:val="nil"/>
              <w:left w:val="nil"/>
              <w:bottom w:val="single" w:sz="4" w:space="0" w:color="auto"/>
              <w:right w:val="single" w:sz="4" w:space="0" w:color="auto"/>
            </w:tcBorders>
            <w:vAlign w:val="center"/>
          </w:tcPr>
          <w:p w14:paraId="0BF225EF" w14:textId="77777777" w:rsidR="00F00E78" w:rsidRPr="00F00E78" w:rsidRDefault="009604CE" w:rsidP="00AE095F">
            <w:pPr>
              <w:jc w:val="center"/>
              <w:rPr>
                <w:color w:val="000000"/>
              </w:rPr>
            </w:pPr>
            <w:r w:rsidRPr="00F00E78">
              <w:rPr>
                <w:color w:val="000000"/>
              </w:rPr>
              <w:t>15</w:t>
            </w:r>
          </w:p>
        </w:tc>
        <w:tc>
          <w:tcPr>
            <w:tcW w:w="850" w:type="dxa"/>
            <w:tcBorders>
              <w:top w:val="nil"/>
              <w:left w:val="nil"/>
              <w:bottom w:val="single" w:sz="4" w:space="0" w:color="auto"/>
              <w:right w:val="single" w:sz="4" w:space="0" w:color="auto"/>
            </w:tcBorders>
            <w:vAlign w:val="center"/>
          </w:tcPr>
          <w:p w14:paraId="63A5F1C7" w14:textId="77777777" w:rsidR="00F00E78" w:rsidRPr="00F00E78" w:rsidRDefault="009604CE" w:rsidP="00AE095F">
            <w:pPr>
              <w:jc w:val="center"/>
              <w:rPr>
                <w:color w:val="000000"/>
              </w:rPr>
            </w:pPr>
            <w:r w:rsidRPr="00F00E78">
              <w:rPr>
                <w:color w:val="000000"/>
              </w:rPr>
              <w:t>30</w:t>
            </w:r>
          </w:p>
        </w:tc>
        <w:tc>
          <w:tcPr>
            <w:tcW w:w="851" w:type="dxa"/>
            <w:tcBorders>
              <w:top w:val="nil"/>
              <w:left w:val="nil"/>
              <w:bottom w:val="single" w:sz="4" w:space="0" w:color="auto"/>
              <w:right w:val="single" w:sz="4" w:space="0" w:color="auto"/>
            </w:tcBorders>
            <w:vAlign w:val="center"/>
          </w:tcPr>
          <w:p w14:paraId="703942B8" w14:textId="77777777" w:rsidR="00F00E78" w:rsidRPr="00F00E78" w:rsidRDefault="009604CE" w:rsidP="00AE095F">
            <w:pPr>
              <w:jc w:val="center"/>
              <w:rPr>
                <w:color w:val="000000"/>
              </w:rPr>
            </w:pPr>
            <w:r w:rsidRPr="00F00E78">
              <w:rPr>
                <w:color w:val="000000"/>
              </w:rPr>
              <w:t>30</w:t>
            </w:r>
          </w:p>
        </w:tc>
        <w:tc>
          <w:tcPr>
            <w:tcW w:w="850" w:type="dxa"/>
            <w:tcBorders>
              <w:top w:val="nil"/>
              <w:left w:val="nil"/>
              <w:bottom w:val="single" w:sz="4" w:space="0" w:color="auto"/>
              <w:right w:val="single" w:sz="4" w:space="0" w:color="auto"/>
            </w:tcBorders>
            <w:vAlign w:val="center"/>
          </w:tcPr>
          <w:p w14:paraId="5FC18E78" w14:textId="77777777" w:rsidR="00F00E78" w:rsidRPr="00F00E78" w:rsidRDefault="009604CE" w:rsidP="00AE095F">
            <w:pPr>
              <w:jc w:val="center"/>
              <w:rPr>
                <w:color w:val="000000"/>
              </w:rPr>
            </w:pPr>
            <w:r w:rsidRPr="00F00E78">
              <w:rPr>
                <w:color w:val="000000"/>
              </w:rPr>
              <w:t>45</w:t>
            </w:r>
          </w:p>
        </w:tc>
        <w:tc>
          <w:tcPr>
            <w:tcW w:w="851" w:type="dxa"/>
            <w:tcBorders>
              <w:top w:val="nil"/>
              <w:left w:val="nil"/>
              <w:bottom w:val="single" w:sz="4" w:space="0" w:color="auto"/>
              <w:right w:val="single" w:sz="4" w:space="0" w:color="auto"/>
            </w:tcBorders>
            <w:vAlign w:val="center"/>
          </w:tcPr>
          <w:p w14:paraId="1F8374BA" w14:textId="77777777" w:rsidR="00F00E78" w:rsidRPr="00F00E78" w:rsidRDefault="009604CE" w:rsidP="00AE095F">
            <w:pPr>
              <w:jc w:val="center"/>
              <w:rPr>
                <w:color w:val="000000"/>
              </w:rPr>
            </w:pPr>
            <w:r w:rsidRPr="00F00E78">
              <w:rPr>
                <w:color w:val="000000"/>
              </w:rPr>
              <w:t>60</w:t>
            </w:r>
          </w:p>
        </w:tc>
        <w:tc>
          <w:tcPr>
            <w:tcW w:w="992" w:type="dxa"/>
            <w:tcBorders>
              <w:top w:val="nil"/>
              <w:left w:val="nil"/>
              <w:bottom w:val="single" w:sz="4" w:space="0" w:color="auto"/>
              <w:right w:val="single" w:sz="4" w:space="0" w:color="auto"/>
            </w:tcBorders>
            <w:vAlign w:val="center"/>
          </w:tcPr>
          <w:p w14:paraId="1121C2F6" w14:textId="77777777" w:rsidR="00F00E78" w:rsidRPr="00F00E78" w:rsidRDefault="009604CE" w:rsidP="00AE095F">
            <w:pPr>
              <w:jc w:val="center"/>
              <w:rPr>
                <w:color w:val="000000"/>
              </w:rPr>
            </w:pPr>
            <w:r w:rsidRPr="00F00E78">
              <w:rPr>
                <w:color w:val="000000"/>
              </w:rPr>
              <w:t>90</w:t>
            </w:r>
          </w:p>
        </w:tc>
      </w:tr>
    </w:tbl>
    <w:p w14:paraId="7920E5E8" w14:textId="77777777" w:rsidR="0069377F" w:rsidRPr="00F00E78" w:rsidRDefault="009604CE" w:rsidP="00171CED">
      <w:pPr>
        <w:spacing w:before="120" w:after="120"/>
        <w:jc w:val="both"/>
      </w:pPr>
      <w:r w:rsidRPr="00F00E78">
        <w:t>Po osazení klapek do VZT systému musí být zajištěno uvedení do provozu a jejich pravidelná kontrola a údržba. Na požárních klapkách nebo navazujícím VZT potrubí musí být osazeny revizní otvory umožňující kontrolu, údržbu a čištění klapek. Víka revizních otvorů včetně utěsnění musí mít alespoň stejnou PO jako klapka nebo VZT potrubí, na kterém je umístěn. Pro kontrolní účely musí každá požární klapka umožňovat ruční otevření a uzavření</w:t>
      </w:r>
      <w:r w:rsidR="00171CED" w:rsidRPr="00F00E78">
        <w:t>.</w:t>
      </w:r>
    </w:p>
    <w:p w14:paraId="7E20FF12" w14:textId="77777777" w:rsidR="00323485" w:rsidRPr="002A3147" w:rsidRDefault="009604CE" w:rsidP="00AA5FB7">
      <w:pPr>
        <w:pStyle w:val="Textnormy"/>
        <w:numPr>
          <w:ilvl w:val="0"/>
          <w:numId w:val="6"/>
        </w:numPr>
        <w:tabs>
          <w:tab w:val="clear" w:pos="284"/>
          <w:tab w:val="left" w:pos="0"/>
        </w:tabs>
        <w:spacing w:before="120"/>
        <w:ind w:left="0" w:firstLine="0"/>
        <w:rPr>
          <w:rFonts w:ascii="Times New Roman" w:eastAsia="Times New Roman" w:hAnsi="Times New Roman"/>
          <w:i/>
          <w:sz w:val="32"/>
          <w:szCs w:val="24"/>
          <w:u w:val="single"/>
          <w:lang w:eastAsia="cs-CZ"/>
        </w:rPr>
      </w:pPr>
      <w:r w:rsidRPr="0050579B">
        <w:rPr>
          <w:rFonts w:ascii="Times New Roman" w:hAnsi="Times New Roman"/>
          <w:i/>
          <w:sz w:val="24"/>
          <w:u w:val="single"/>
        </w:rPr>
        <w:t>nově zřizované prostupy všemi stropy jsou utěsněny podle 6.2 ČSN 73 0810:20</w:t>
      </w:r>
      <w:r w:rsidR="00083589" w:rsidRPr="0050579B">
        <w:rPr>
          <w:rFonts w:ascii="Times New Roman" w:hAnsi="Times New Roman"/>
          <w:i/>
          <w:sz w:val="24"/>
          <w:u w:val="single"/>
        </w:rPr>
        <w:t>16</w:t>
      </w:r>
    </w:p>
    <w:p w14:paraId="52E6573D" w14:textId="77777777" w:rsidR="00171CED" w:rsidRPr="00870F3F" w:rsidRDefault="009604CE" w:rsidP="00171CED">
      <w:pPr>
        <w:spacing w:before="120" w:after="120"/>
        <w:jc w:val="both"/>
      </w:pPr>
      <w:r w:rsidRPr="00F00E78">
        <w:t>viz odstavec H.d)</w:t>
      </w:r>
    </w:p>
    <w:p w14:paraId="69ADA92E" w14:textId="77777777" w:rsidR="00323485" w:rsidRPr="00171A1C" w:rsidRDefault="009604CE" w:rsidP="00323485">
      <w:pPr>
        <w:pStyle w:val="Textnormy"/>
        <w:numPr>
          <w:ilvl w:val="0"/>
          <w:numId w:val="6"/>
        </w:numPr>
        <w:tabs>
          <w:tab w:val="clear" w:pos="284"/>
          <w:tab w:val="left" w:pos="0"/>
        </w:tabs>
        <w:spacing w:before="120"/>
        <w:ind w:left="0" w:firstLine="0"/>
        <w:rPr>
          <w:rFonts w:ascii="Times New Roman" w:eastAsia="Times New Roman" w:hAnsi="Times New Roman"/>
          <w:i/>
          <w:sz w:val="24"/>
          <w:szCs w:val="24"/>
          <w:u w:val="single"/>
          <w:lang w:eastAsia="cs-CZ"/>
        </w:rPr>
      </w:pPr>
      <w:r w:rsidRPr="00171A1C">
        <w:rPr>
          <w:rFonts w:ascii="Times New Roman" w:eastAsia="Times New Roman" w:hAnsi="Times New Roman"/>
          <w:i/>
          <w:sz w:val="24"/>
          <w:szCs w:val="24"/>
          <w:u w:val="single"/>
          <w:lang w:eastAsia="cs-CZ"/>
        </w:rPr>
        <w:t>v měněné části objektu nejsou původní únikové cesty zúženy ani prodlouženy nebo se prokáže, že jejich rozměry odpovídají normovým požadavkům a ani jiným způsobem není oproti původnímu stavu zhoršena jejich kvalita (např. větrání, požární odolnost a druh stavebních konstrukcí, provedení povrchových úprav, kvalita nášlapné vrstvy podlahy apod.);</w:t>
      </w:r>
    </w:p>
    <w:p w14:paraId="46404ABD" w14:textId="77777777" w:rsidR="0088460A" w:rsidRDefault="009604CE" w:rsidP="0053315F">
      <w:pPr>
        <w:pStyle w:val="Textnormy"/>
        <w:spacing w:after="0"/>
        <w:rPr>
          <w:rFonts w:ascii="Times New Roman" w:hAnsi="Times New Roman"/>
          <w:sz w:val="24"/>
          <w:szCs w:val="24"/>
        </w:rPr>
      </w:pPr>
      <w:r>
        <w:rPr>
          <w:rFonts w:ascii="Times New Roman" w:hAnsi="Times New Roman"/>
          <w:sz w:val="24"/>
          <w:szCs w:val="24"/>
        </w:rPr>
        <w:t>Změnou využití účelu místnost</w:t>
      </w:r>
      <w:r w:rsidR="00AC3E3C">
        <w:rPr>
          <w:rFonts w:ascii="Times New Roman" w:hAnsi="Times New Roman"/>
          <w:sz w:val="24"/>
          <w:szCs w:val="24"/>
        </w:rPr>
        <w:t>i</w:t>
      </w:r>
      <w:r>
        <w:rPr>
          <w:rFonts w:ascii="Times New Roman" w:hAnsi="Times New Roman"/>
          <w:sz w:val="24"/>
          <w:szCs w:val="24"/>
        </w:rPr>
        <w:t xml:space="preserve"> nejsou původní únikové cesty zúženy, prodlouženy a celkově nejsou zhoršeny.</w:t>
      </w:r>
    </w:p>
    <w:p w14:paraId="2B800642" w14:textId="77777777" w:rsidR="007428D8" w:rsidRDefault="009604CE" w:rsidP="007428D8">
      <w:pPr>
        <w:pStyle w:val="Normbezodsazen"/>
        <w:spacing w:line="240" w:lineRule="auto"/>
      </w:pPr>
      <w:r>
        <w:t>D</w:t>
      </w:r>
      <w:r w:rsidR="00FC44C3">
        <w:t>veře z</w:t>
      </w:r>
      <w:r>
        <w:t> posuzovan</w:t>
      </w:r>
      <w:r w:rsidR="00580610">
        <w:t>ých</w:t>
      </w:r>
      <w:r>
        <w:t xml:space="preserve"> místnost</w:t>
      </w:r>
      <w:r w:rsidR="00AC3E3C">
        <w:t>i</w:t>
      </w:r>
      <w:r w:rsidR="00FC44C3">
        <w:t xml:space="preserve"> budou v provozní </w:t>
      </w:r>
      <w:r w:rsidR="00F62091">
        <w:t xml:space="preserve">době trvale odemčené. </w:t>
      </w:r>
    </w:p>
    <w:p w14:paraId="697CE465" w14:textId="77777777" w:rsidR="00F62091" w:rsidRPr="00E85E3A" w:rsidRDefault="009604CE" w:rsidP="0088460A">
      <w:pPr>
        <w:jc w:val="both"/>
      </w:pPr>
      <w:r w:rsidRPr="009C1C70">
        <w:t xml:space="preserve">Únikové cesty musí být značeny zřetelně a jednoznačně tam, kde východ na volné prostranství není přímo viditelný. Značení musí být provedeno zejména v souladu s nařízením vlády 375/2017 Sb., o bezpečnostním značení a ČSN ISO 3864-1. </w:t>
      </w:r>
    </w:p>
    <w:p w14:paraId="7752EF66" w14:textId="77777777" w:rsidR="00323485" w:rsidRPr="00E85E3A" w:rsidRDefault="009604CE" w:rsidP="00323485">
      <w:pPr>
        <w:pStyle w:val="Textnormy"/>
        <w:numPr>
          <w:ilvl w:val="0"/>
          <w:numId w:val="6"/>
        </w:numPr>
        <w:tabs>
          <w:tab w:val="clear" w:pos="284"/>
          <w:tab w:val="num" w:pos="0"/>
        </w:tabs>
        <w:spacing w:before="120"/>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 xml:space="preserve">je vytvořen požární úsek z prostorů podle 3.3b), pokud to ČSN 73 0802, ČSN 73 0804 nebo normy řady ČSN 73 08xx jmenovitě vyžadují; požárně dělicí konstrukce tohoto požárního úseku mohou být bez dalšího průkazu navrženy pro III. stupeň požární bezpečnosti; III. stupni požární bezpečnosti musí odpovídat všechny požadavky na stavební konstrukce, včetně </w:t>
      </w:r>
      <w:r w:rsidRPr="00E85E3A">
        <w:rPr>
          <w:rFonts w:ascii="Times New Roman" w:eastAsia="Times New Roman" w:hAnsi="Times New Roman"/>
          <w:i/>
          <w:sz w:val="24"/>
          <w:szCs w:val="24"/>
          <w:u w:val="single"/>
          <w:lang w:eastAsia="cs-CZ"/>
        </w:rPr>
        <w:lastRenderedPageBreak/>
        <w:t>požadavků na požárně dělicí konstrukce oddělující požární úsek od sousedních prostorů (nepřihlíží se k případnému požárnímu riziku v ostatních částech objektu);</w:t>
      </w:r>
    </w:p>
    <w:p w14:paraId="43B70DCC" w14:textId="77777777" w:rsidR="00083589" w:rsidRPr="00E85E3A" w:rsidRDefault="009604CE" w:rsidP="00083589">
      <w:pPr>
        <w:pStyle w:val="Normbezodsazen"/>
        <w:spacing w:before="0" w:after="0" w:line="240" w:lineRule="auto"/>
      </w:pPr>
      <w:r w:rsidRPr="00E85E3A">
        <w:t xml:space="preserve">Nevyskytuje se. </w:t>
      </w:r>
    </w:p>
    <w:p w14:paraId="60991AC2" w14:textId="77777777" w:rsidR="009E4CC7" w:rsidRDefault="009604CE" w:rsidP="00EC12F1">
      <w:pPr>
        <w:pStyle w:val="Textnormy"/>
        <w:numPr>
          <w:ilvl w:val="0"/>
          <w:numId w:val="6"/>
        </w:numPr>
        <w:tabs>
          <w:tab w:val="clear" w:pos="284"/>
          <w:tab w:val="left" w:pos="0"/>
        </w:tabs>
        <w:ind w:left="0" w:firstLine="0"/>
        <w:rPr>
          <w:rFonts w:ascii="Times New Roman" w:eastAsia="Times New Roman" w:hAnsi="Times New Roman"/>
          <w:i/>
          <w:sz w:val="24"/>
          <w:szCs w:val="24"/>
          <w:u w:val="single"/>
          <w:lang w:eastAsia="cs-CZ"/>
        </w:rPr>
      </w:pPr>
      <w:r w:rsidRPr="00E85E3A">
        <w:rPr>
          <w:rFonts w:ascii="Times New Roman" w:eastAsia="Times New Roman" w:hAnsi="Times New Roman"/>
          <w:i/>
          <w:sz w:val="24"/>
          <w:szCs w:val="24"/>
          <w:u w:val="single"/>
          <w:lang w:eastAsia="cs-CZ"/>
        </w:rPr>
        <w:t>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 0802, ČSN 73 0804 nebo norem řady ČSN 73 08xx.</w:t>
      </w:r>
    </w:p>
    <w:p w14:paraId="6CA46189" w14:textId="6DED5577" w:rsidR="008F3CEA" w:rsidRDefault="008C1E35" w:rsidP="008F3CEA">
      <w:pPr>
        <w:spacing w:before="120" w:after="120"/>
        <w:jc w:val="both"/>
      </w:pPr>
      <w:r>
        <w:t>Stavebními úpravami se nemění původní parametry umožňující požární zásah. V bankovní pobočce Raiffeisenbank budou v každém podlaží umístěny minimálně tři přenosné práškové hasicí přístroje (počet hasicích přístrojů je stanoven dle ČSN 73 0802, při ploše pobočky v každém podlaží Raiffeisenbank S = 313,3 m2 a součinitel a = 1,0). Minimální hasicí schopnost hasicího přístroje je 21 A (tomuto požadavku vyhoví např. přenosný práškový hasicí přístroj ABC PG 6)</w:t>
      </w:r>
      <w:r w:rsidR="009604CE">
        <w:t>.</w:t>
      </w:r>
    </w:p>
    <w:p w14:paraId="793EB589" w14:textId="77777777" w:rsidR="008F3CEA" w:rsidRDefault="009604CE" w:rsidP="008F3CEA">
      <w:pPr>
        <w:spacing w:before="120" w:after="120"/>
        <w:jc w:val="both"/>
      </w:pPr>
      <w:r>
        <w:t xml:space="preserve">Hasicí přístroje se umístí tak, aby byly snadno viditelné a volně přístupné. V případech, kdy je omezena orientace osob z hlediska rozmístění hasicích přístrojů (např. v nepřehledných, rozlehlých nebo skrytých prostorách) se k označení umístění hasicích přístrojů použije příslušná požární značka (např. dle ČSN ISO 3864-1) umístěná na viditelném místě. </w:t>
      </w:r>
    </w:p>
    <w:p w14:paraId="75C730D8" w14:textId="77777777" w:rsidR="00F00E78" w:rsidRDefault="009604CE" w:rsidP="008F3CEA">
      <w:pPr>
        <w:spacing w:before="120" w:after="120"/>
        <w:jc w:val="both"/>
      </w:pPr>
      <w:r>
        <w:t>Hasicí přístroje se umisťují v místech, kde je nejvyšší pravděpodobnost vzniku požáru nebo v místech jejich dosahu..</w:t>
      </w:r>
    </w:p>
    <w:p w14:paraId="40B25A2C" w14:textId="44F4A87F" w:rsidR="001574FE" w:rsidRDefault="009604CE" w:rsidP="00E147BE">
      <w:pPr>
        <w:spacing w:after="200" w:line="276" w:lineRule="auto"/>
        <w:ind w:hanging="993"/>
      </w:pPr>
      <w:bookmarkStart w:id="21" w:name="_Toc21696020"/>
      <w:r>
        <w:br w:type="page"/>
      </w:r>
    </w:p>
    <w:p w14:paraId="530D613F" w14:textId="3D8174EF" w:rsidR="008C1E35" w:rsidRDefault="008C1E35" w:rsidP="00E147BE">
      <w:pPr>
        <w:spacing w:after="200" w:line="276" w:lineRule="auto"/>
        <w:ind w:hanging="993"/>
      </w:pPr>
      <w:r>
        <w:rPr>
          <w:noProof/>
        </w:rPr>
        <w:lastRenderedPageBreak/>
        <w:drawing>
          <wp:inline distT="0" distB="0" distL="0" distR="0" wp14:anchorId="6F960C39" wp14:editId="76D6558A">
            <wp:extent cx="8563769" cy="6851015"/>
            <wp:effectExtent l="0" t="953" r="7938" b="7937"/>
            <wp:docPr id="131949714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8569103" cy="6855282"/>
                    </a:xfrm>
                    <a:prstGeom prst="rect">
                      <a:avLst/>
                    </a:prstGeom>
                    <a:noFill/>
                    <a:ln>
                      <a:noFill/>
                    </a:ln>
                  </pic:spPr>
                </pic:pic>
              </a:graphicData>
            </a:graphic>
          </wp:inline>
        </w:drawing>
      </w:r>
    </w:p>
    <w:p w14:paraId="153A25ED" w14:textId="3E49C0C7" w:rsidR="00E147BE" w:rsidRPr="00D4730C" w:rsidRDefault="008C1E35" w:rsidP="008C1E35">
      <w:pPr>
        <w:spacing w:after="200" w:line="276" w:lineRule="auto"/>
        <w:ind w:hanging="993"/>
      </w:pPr>
      <w:r>
        <w:rPr>
          <w:noProof/>
        </w:rPr>
        <w:lastRenderedPageBreak/>
        <w:drawing>
          <wp:inline distT="0" distB="0" distL="0" distR="0" wp14:anchorId="6CCD7181" wp14:editId="3B476DBD">
            <wp:extent cx="8659019" cy="6927215"/>
            <wp:effectExtent l="8572" t="0" r="0" b="0"/>
            <wp:docPr id="188486429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8662769" cy="6930215"/>
                    </a:xfrm>
                    <a:prstGeom prst="rect">
                      <a:avLst/>
                    </a:prstGeom>
                    <a:noFill/>
                    <a:ln>
                      <a:noFill/>
                    </a:ln>
                  </pic:spPr>
                </pic:pic>
              </a:graphicData>
            </a:graphic>
          </wp:inline>
        </w:drawing>
      </w:r>
    </w:p>
    <w:p w14:paraId="72CDA3B3" w14:textId="77777777" w:rsidR="00563833" w:rsidRPr="009C1C70" w:rsidRDefault="009604CE" w:rsidP="00563833">
      <w:pPr>
        <w:pStyle w:val="Nadpis1"/>
        <w:ind w:left="0" w:firstLine="0"/>
        <w:rPr>
          <w:lang w:val="cs-CZ"/>
        </w:rPr>
      </w:pPr>
      <w:bookmarkStart w:id="22" w:name="_Toc165831769"/>
      <w:r w:rsidRPr="009C1C70">
        <w:rPr>
          <w:lang w:val="cs-CZ"/>
        </w:rPr>
        <w:lastRenderedPageBreak/>
        <w:t>ZÁVĚR</w:t>
      </w:r>
      <w:bookmarkEnd w:id="21"/>
      <w:bookmarkEnd w:id="22"/>
    </w:p>
    <w:p w14:paraId="560E097B" w14:textId="136ADD18" w:rsidR="00563833" w:rsidRPr="009C1C70" w:rsidRDefault="009604CE" w:rsidP="00075EF8">
      <w:pPr>
        <w:jc w:val="both"/>
        <w:rPr>
          <w:b/>
        </w:rPr>
      </w:pPr>
      <w:r w:rsidRPr="009C1C70">
        <w:t>Toto požárně bezpečnostní řešení bylo zhotoveno v souladu s vyhláškou č. 246/2001 Sb.,</w:t>
      </w:r>
      <w:r w:rsidRPr="009C1C70">
        <w:br/>
        <w:t>ve znění pozdějších předpisů. Požadavky byly stanoveny podle řady norem ČSN 73 08xx</w:t>
      </w:r>
      <w:r w:rsidRPr="009C1C70">
        <w:br/>
        <w:t>o požární bezpečnosti staveb. Je nutné, aby podmínky požárně bezpečnostního řešení byly</w:t>
      </w:r>
      <w:r w:rsidRPr="009C1C70">
        <w:br/>
        <w:t xml:space="preserve">v celém rozsahu splněny. </w:t>
      </w:r>
    </w:p>
    <w:p w14:paraId="738E8C79" w14:textId="77777777" w:rsidR="00563833" w:rsidRDefault="00563833" w:rsidP="00563833">
      <w:pPr>
        <w:rPr>
          <w:b/>
        </w:rPr>
      </w:pPr>
    </w:p>
    <w:p w14:paraId="3EAFE12A" w14:textId="77777777" w:rsidR="00075EF8" w:rsidRPr="009C1C70" w:rsidRDefault="00075EF8" w:rsidP="00563833">
      <w:pPr>
        <w:rPr>
          <w:b/>
        </w:rPr>
      </w:pPr>
    </w:p>
    <w:p w14:paraId="7C5DCE9D" w14:textId="2CF3CDC3" w:rsidR="00563833" w:rsidRPr="009C1C70" w:rsidRDefault="009604CE" w:rsidP="00563833">
      <w:pPr>
        <w:pStyle w:val="Zkladntext"/>
        <w:rPr>
          <w:rFonts w:cs="Calibri"/>
          <w:highlight w:val="yellow"/>
        </w:rPr>
      </w:pPr>
      <w:r w:rsidRPr="009C1C70">
        <w:rPr>
          <w:rFonts w:cs="Calibri"/>
        </w:rPr>
        <w:t>V </w:t>
      </w:r>
      <w:r w:rsidR="001574FE">
        <w:rPr>
          <w:rFonts w:cs="Calibri"/>
        </w:rPr>
        <w:t>Praze</w:t>
      </w:r>
      <w:r w:rsidRPr="009C1C70">
        <w:rPr>
          <w:rFonts w:cs="Calibri"/>
        </w:rPr>
        <w:t xml:space="preserve"> dne </w:t>
      </w:r>
      <w:r w:rsidR="008C1E35">
        <w:rPr>
          <w:rFonts w:cs="Calibri"/>
        </w:rPr>
        <w:t>06</w:t>
      </w:r>
      <w:r w:rsidRPr="009C1C70">
        <w:rPr>
          <w:rFonts w:cs="Calibri"/>
        </w:rPr>
        <w:t xml:space="preserve">. </w:t>
      </w:r>
      <w:r w:rsidR="001574FE">
        <w:rPr>
          <w:rFonts w:cs="Calibri"/>
        </w:rPr>
        <w:t>0</w:t>
      </w:r>
      <w:r w:rsidR="008C1E35">
        <w:rPr>
          <w:rFonts w:cs="Calibri"/>
        </w:rPr>
        <w:t>5</w:t>
      </w:r>
      <w:r w:rsidRPr="009C1C70">
        <w:rPr>
          <w:rFonts w:cs="Calibri"/>
        </w:rPr>
        <w:t>. 20</w:t>
      </w:r>
      <w:r w:rsidR="00136E0C">
        <w:rPr>
          <w:rFonts w:cs="Calibri"/>
        </w:rPr>
        <w:t>2</w:t>
      </w:r>
      <w:r w:rsidR="00D4730C">
        <w:rPr>
          <w:rFonts w:cs="Calibri"/>
        </w:rPr>
        <w:t>4</w:t>
      </w:r>
    </w:p>
    <w:p w14:paraId="35CC4C61" w14:textId="77777777" w:rsidR="00563833" w:rsidRPr="009C1C70" w:rsidRDefault="00563833" w:rsidP="00563833">
      <w:pPr>
        <w:pStyle w:val="Zkladntext"/>
        <w:rPr>
          <w:rFonts w:cs="Calibri"/>
        </w:rPr>
      </w:pPr>
    </w:p>
    <w:p w14:paraId="799AFC14" w14:textId="77777777" w:rsidR="00563833" w:rsidRPr="009C1C70" w:rsidRDefault="00563833" w:rsidP="00563833">
      <w:pPr>
        <w:pStyle w:val="Zhlav"/>
        <w:tabs>
          <w:tab w:val="left" w:pos="708"/>
        </w:tabs>
        <w:spacing w:after="120"/>
        <w:rPr>
          <w:snapToGrid w:val="0"/>
          <w:color w:val="000000"/>
        </w:rPr>
      </w:pPr>
    </w:p>
    <w:p w14:paraId="49C5791C" w14:textId="77777777" w:rsidR="00EC12F1" w:rsidRDefault="009604CE" w:rsidP="00563833">
      <w:pPr>
        <w:pStyle w:val="Zhlav"/>
        <w:tabs>
          <w:tab w:val="left" w:pos="708"/>
        </w:tabs>
        <w:spacing w:after="120"/>
        <w:rPr>
          <w:snapToGrid w:val="0"/>
          <w:color w:val="000000"/>
        </w:rPr>
      </w:pPr>
      <w:r w:rsidRPr="009C1C70">
        <w:rPr>
          <w:snapToGrid w:val="0"/>
          <w:color w:val="000000"/>
        </w:rPr>
        <w:t xml:space="preserve">Ing. </w:t>
      </w:r>
      <w:r w:rsidR="00936869" w:rsidRPr="00936869">
        <w:rPr>
          <w:snapToGrid w:val="0"/>
          <w:color w:val="000000"/>
        </w:rPr>
        <w:t>Michal Macháč</w:t>
      </w:r>
      <w:r w:rsidRPr="009C1C70">
        <w:rPr>
          <w:snapToGrid w:val="0"/>
          <w:color w:val="000000"/>
        </w:rPr>
        <w:t xml:space="preserve">    ………………….………..….….</w:t>
      </w:r>
    </w:p>
    <w:p w14:paraId="37C40C1A" w14:textId="77777777" w:rsidR="009B5107" w:rsidRDefault="009B5107" w:rsidP="00563833">
      <w:pPr>
        <w:pStyle w:val="Zhlav"/>
        <w:tabs>
          <w:tab w:val="left" w:pos="708"/>
        </w:tabs>
        <w:spacing w:after="120"/>
        <w:rPr>
          <w:snapToGrid w:val="0"/>
          <w:color w:val="000000"/>
        </w:rPr>
      </w:pPr>
    </w:p>
    <w:p w14:paraId="77110E9E" w14:textId="77777777" w:rsidR="001574FE" w:rsidRDefault="001574FE" w:rsidP="00563833">
      <w:pPr>
        <w:pStyle w:val="Zhlav"/>
        <w:tabs>
          <w:tab w:val="left" w:pos="708"/>
        </w:tabs>
        <w:spacing w:after="120"/>
        <w:rPr>
          <w:snapToGrid w:val="0"/>
          <w:color w:val="000000"/>
        </w:rPr>
      </w:pPr>
    </w:p>
    <w:p w14:paraId="646AC70C" w14:textId="77777777" w:rsidR="00936869" w:rsidRDefault="00936869" w:rsidP="001574FE">
      <w:pPr>
        <w:pStyle w:val="Zhlav"/>
        <w:tabs>
          <w:tab w:val="left" w:pos="708"/>
        </w:tabs>
        <w:spacing w:after="120"/>
        <w:jc w:val="center"/>
        <w:rPr>
          <w:snapToGrid w:val="0"/>
          <w:color w:val="000000"/>
        </w:rPr>
      </w:pPr>
    </w:p>
    <w:sectPr w:rsidR="00936869" w:rsidSect="00F3311B">
      <w:headerReference w:type="default" r:id="rId12"/>
      <w:footerReference w:type="even" r:id="rId13"/>
      <w:footerReference w:type="default" r:id="rId14"/>
      <w:footerReference w:type="first" r:id="rId15"/>
      <w:pgSz w:w="11906" w:h="16838"/>
      <w:pgMar w:top="1333" w:right="1417" w:bottom="1417" w:left="1417" w:header="708" w:footer="93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051BA" w14:textId="77777777" w:rsidR="00DB576C" w:rsidRDefault="00DB576C">
      <w:r>
        <w:separator/>
      </w:r>
    </w:p>
  </w:endnote>
  <w:endnote w:type="continuationSeparator" w:id="0">
    <w:p w14:paraId="0FE4E28B" w14:textId="77777777" w:rsidR="00DB576C" w:rsidRDefault="00DB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6E1D4" w14:textId="1C38FB82" w:rsidR="009604CE" w:rsidRDefault="009604CE">
    <w:pPr>
      <w:pStyle w:val="Zpat"/>
    </w:pPr>
    <w:r>
      <w:rPr>
        <w:noProof/>
      </w:rPr>
      <mc:AlternateContent>
        <mc:Choice Requires="wps">
          <w:drawing>
            <wp:anchor distT="0" distB="0" distL="0" distR="0" simplePos="0" relativeHeight="251659264" behindDoc="0" locked="0" layoutInCell="1" allowOverlap="1" wp14:anchorId="51156FFC" wp14:editId="5A8FAE12">
              <wp:simplePos x="635" y="635"/>
              <wp:positionH relativeFrom="page">
                <wp:align>right</wp:align>
              </wp:positionH>
              <wp:positionV relativeFrom="page">
                <wp:align>bottom</wp:align>
              </wp:positionV>
              <wp:extent cx="443865" cy="443865"/>
              <wp:effectExtent l="0" t="0" r="0" b="0"/>
              <wp:wrapNone/>
              <wp:docPr id="2" name="Text Box 2" descr="Classification: GENERAL">
                <a:extLst xmlns:a="http://schemas.openxmlformats.org/drawingml/2006/main">
                  <a:ext uri="{5AE41FA2-C0FF-4470-9BD4-5FADCA87CBE2}">
                    <aclsh:classification xmlns:aclsh="http://schemas.microsoft.com/office/drawing/2020/classificationShap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E52197" w14:textId="2D4680B0" w:rsidR="009604CE" w:rsidRPr="009604CE" w:rsidRDefault="009604CE" w:rsidP="009604CE">
                          <w:pPr>
                            <w:rPr>
                              <w:rFonts w:ascii="Calibri" w:eastAsia="Calibri" w:hAnsi="Calibri" w:cs="Calibri"/>
                              <w:noProof/>
                              <w:color w:val="000000"/>
                              <w:sz w:val="20"/>
                              <w:szCs w:val="20"/>
                            </w:rPr>
                          </w:pPr>
                          <w:r w:rsidRPr="009604CE">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1156FFC" id="_x0000_t202" coordsize="21600,21600" o:spt="202" path="m,l,21600r21600,l21600,xe">
              <v:stroke joinstyle="miter"/>
              <v:path gradientshapeok="t" o:connecttype="rect"/>
            </v:shapetype>
            <v:shape id="Text Box 2" o:spid="_x0000_s1026" type="#_x0000_t202" alt="Classification: GENERAL" style="position:absolute;margin-left:-16.25pt;margin-top:0;width:34.95pt;height:34.9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" filled="f" stroked="f">
              <v:textbox style="mso-fit-shape-to-text:t" inset="0,0,20pt,15pt">
                <w:txbxContent>
                  <w:p w14:paraId="6CE52197" w14:textId="2D4680B0" w:rsidR="009604CE" w:rsidRPr="009604CE" w:rsidRDefault="009604CE" w:rsidP="009604CE">
                    <w:pPr>
                      <w:rPr>
                        <w:rFonts w:ascii="Calibri" w:eastAsia="Calibri" w:hAnsi="Calibri" w:cs="Calibri"/>
                        <w:noProof/>
                        <w:color w:val="000000"/>
                        <w:sz w:val="20"/>
                        <w:szCs w:val="20"/>
                      </w:rPr>
                    </w:pPr>
                    <w:r w:rsidRPr="009604CE">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45F67" w14:textId="3DD7A008" w:rsidR="004656DD" w:rsidRPr="002E7B5F" w:rsidRDefault="009604CE" w:rsidP="008C2332">
    <w:pPr>
      <w:ind w:right="-284"/>
      <w:jc w:val="right"/>
      <w:rPr>
        <w:rFonts w:ascii="Arial" w:hAnsi="Arial" w:cs="Arial"/>
        <w:color w:val="808080"/>
        <w:sz w:val="16"/>
        <w:szCs w:val="16"/>
      </w:rPr>
    </w:pPr>
    <w:r>
      <w:rPr>
        <w:rFonts w:ascii="Arial" w:hAnsi="Arial" w:cs="Arial"/>
        <w:noProof/>
        <w:color w:val="808080"/>
        <w:sz w:val="16"/>
        <w:szCs w:val="16"/>
      </w:rPr>
      <mc:AlternateContent>
        <mc:Choice Requires="wps">
          <w:drawing>
            <wp:anchor distT="0" distB="0" distL="0" distR="0" simplePos="0" relativeHeight="251660288" behindDoc="0" locked="0" layoutInCell="1" allowOverlap="1" wp14:anchorId="14233571" wp14:editId="60364709">
              <wp:simplePos x="899730" y="9862806"/>
              <wp:positionH relativeFrom="page">
                <wp:align>right</wp:align>
              </wp:positionH>
              <wp:positionV relativeFrom="page">
                <wp:align>bottom</wp:align>
              </wp:positionV>
              <wp:extent cx="443865" cy="443865"/>
              <wp:effectExtent l="0" t="0" r="0" b="0"/>
              <wp:wrapNone/>
              <wp:docPr id="3" name="Text Box 3" descr="Classification: GENERAL">
                <a:extLst xmlns:a="http://schemas.openxmlformats.org/drawingml/2006/main">
                  <a:ext uri="{5AE41FA2-C0FF-4470-9BD4-5FADCA87CBE2}">
                    <aclsh:classification xmlns:aclsh="http://schemas.microsoft.com/office/drawing/2020/classificationShap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D3AADB" w14:textId="60769DFA" w:rsidR="009604CE" w:rsidRPr="009604CE" w:rsidRDefault="009604CE" w:rsidP="009604CE">
                          <w:pPr>
                            <w:rPr>
                              <w:rFonts w:ascii="Calibri" w:eastAsia="Calibri" w:hAnsi="Calibri" w:cs="Calibri"/>
                              <w:noProof/>
                              <w:color w:val="000000"/>
                              <w:sz w:val="20"/>
                              <w:szCs w:val="20"/>
                            </w:rPr>
                          </w:pP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4233571" id="_x0000_t202" coordsize="21600,21600" o:spt="202" path="m,l,21600r21600,l21600,xe">
              <v:stroke joinstyle="miter"/>
              <v:path gradientshapeok="t" o:connecttype="rect"/>
            </v:shapetype>
            <v:shape id="Text Box 3" o:spid="_x0000_s1027" type="#_x0000_t202" alt="Classification: GENERAL" style="position:absolute;left:0;text-align:left;margin-left:-16.25pt;margin-top:0;width:34.95pt;height:34.9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" filled="f" stroked="f">
              <v:textbox style="mso-fit-shape-to-text:t" inset="0,0,20pt,15pt">
                <w:txbxContent>
                  <w:p w14:paraId="09D3AADB" w14:textId="60769DFA" w:rsidR="009604CE" w:rsidRPr="009604CE" w:rsidRDefault="009604CE" w:rsidP="009604CE">
                    <w:pPr>
                      <w:rPr>
                        <w:rFonts w:ascii="Calibri" w:eastAsia="Calibri" w:hAnsi="Calibri" w:cs="Calibri"/>
                        <w:noProof/>
                        <w:color w:val="000000"/>
                        <w:sz w:val="20"/>
                        <w:szCs w:val="20"/>
                      </w:rPr>
                    </w:pPr>
                  </w:p>
                </w:txbxContent>
              </v:textbox>
              <w10:wrap anchorx="page" anchory="page"/>
            </v:shape>
          </w:pict>
        </mc:Fallback>
      </mc:AlternateContent>
    </w:r>
    <w:r w:rsidRPr="002E7B5F">
      <w:rPr>
        <w:rFonts w:ascii="Arial" w:hAnsi="Arial" w:cs="Arial"/>
        <w:color w:val="808080"/>
        <w:sz w:val="16"/>
        <w:szCs w:val="16"/>
      </w:rPr>
      <w:t xml:space="preserve">                                                </w:t>
    </w:r>
    <w:r w:rsidRPr="002E7B5F">
      <w:rPr>
        <w:rFonts w:ascii="Arial" w:hAnsi="Arial" w:cs="Arial"/>
        <w:color w:val="808080"/>
        <w:sz w:val="16"/>
        <w:szCs w:val="16"/>
      </w:rPr>
      <w:fldChar w:fldCharType="begin"/>
    </w:r>
    <w:r w:rsidRPr="002E7B5F">
      <w:rPr>
        <w:rFonts w:ascii="Arial" w:hAnsi="Arial" w:cs="Arial"/>
        <w:color w:val="808080"/>
        <w:sz w:val="16"/>
        <w:szCs w:val="16"/>
      </w:rPr>
      <w:instrText xml:space="preserve"> PAGE   \* MERGEFORMAT </w:instrText>
    </w:r>
    <w:r w:rsidRPr="002E7B5F">
      <w:rPr>
        <w:rFonts w:ascii="Arial" w:hAnsi="Arial" w:cs="Arial"/>
        <w:color w:val="808080"/>
        <w:sz w:val="16"/>
        <w:szCs w:val="16"/>
      </w:rPr>
      <w:fldChar w:fldCharType="separate"/>
    </w:r>
    <w:r w:rsidR="0085513B">
      <w:rPr>
        <w:rFonts w:ascii="Arial" w:hAnsi="Arial" w:cs="Arial"/>
        <w:noProof/>
        <w:color w:val="808080"/>
        <w:sz w:val="16"/>
        <w:szCs w:val="16"/>
      </w:rPr>
      <w:t>8</w:t>
    </w:r>
    <w:r w:rsidRPr="002E7B5F">
      <w:rPr>
        <w:rFonts w:ascii="Arial" w:hAnsi="Arial" w:cs="Arial"/>
        <w:color w:val="808080"/>
        <w:sz w:val="16"/>
        <w:szCs w:val="16"/>
      </w:rPr>
      <w:fldChar w:fldCharType="end"/>
    </w:r>
  </w:p>
  <w:p w14:paraId="59DCDC24" w14:textId="77777777" w:rsidR="004656DD" w:rsidRPr="008E01D4" w:rsidRDefault="004656DD" w:rsidP="008C2332">
    <w:pPr>
      <w:pStyle w:val="Zpat"/>
      <w:tabs>
        <w:tab w:val="left" w:pos="1005"/>
      </w:tabs>
      <w:rPr>
        <w:color w:val="80808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DA3FF" w14:textId="2F33E3C2" w:rsidR="009604CE" w:rsidRDefault="009604CE">
    <w:pPr>
      <w:pStyle w:val="Zpat"/>
    </w:pPr>
    <w:r>
      <w:rPr>
        <w:noProof/>
      </w:rPr>
      <mc:AlternateContent>
        <mc:Choice Requires="wps">
          <w:drawing>
            <wp:anchor distT="0" distB="0" distL="0" distR="0" simplePos="0" relativeHeight="251658240" behindDoc="0" locked="0" layoutInCell="1" allowOverlap="1" wp14:anchorId="74B54498" wp14:editId="02958C98">
              <wp:simplePos x="900430" y="9921875"/>
              <wp:positionH relativeFrom="page">
                <wp:align>right</wp:align>
              </wp:positionH>
              <wp:positionV relativeFrom="page">
                <wp:align>bottom</wp:align>
              </wp:positionV>
              <wp:extent cx="443865" cy="443865"/>
              <wp:effectExtent l="0" t="0" r="0" b="0"/>
              <wp:wrapNone/>
              <wp:docPr id="1" name="Text Box 1" descr="Classification: GENERAL">
                <a:extLst xmlns:a="http://schemas.openxmlformats.org/drawingml/2006/main">
                  <a:ext uri="{5AE41FA2-C0FF-4470-9BD4-5FADCA87CBE2}">
                    <aclsh:classification xmlns:aclsh="http://schemas.microsoft.com/office/drawing/2020/classificationShap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DA010D" w14:textId="70670DB0" w:rsidR="009604CE" w:rsidRPr="009604CE" w:rsidRDefault="009604CE" w:rsidP="009604CE">
                          <w:pPr>
                            <w:rPr>
                              <w:rFonts w:ascii="Calibri" w:eastAsia="Calibri" w:hAnsi="Calibri" w:cs="Calibri"/>
                              <w:noProof/>
                              <w:color w:val="000000"/>
                              <w:sz w:val="20"/>
                              <w:szCs w:val="20"/>
                            </w:rPr>
                          </w:pPr>
                          <w:r w:rsidRPr="009604CE">
                            <w:rPr>
                              <w:rFonts w:ascii="Calibri" w:eastAsia="Calibri" w:hAnsi="Calibri" w:cs="Calibri"/>
                              <w:noProof/>
                              <w:color w:val="000000"/>
                              <w:sz w:val="20"/>
                              <w:szCs w:val="20"/>
                            </w:rPr>
                            <w:t>Classification: GENERAL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4B54498" id="_x0000_t202" coordsize="21600,21600" o:spt="202" path="m,l,21600r21600,l21600,xe">
              <v:stroke joinstyle="miter"/>
              <v:path gradientshapeok="t" o:connecttype="rect"/>
            </v:shapetype>
            <v:shape id="Text Box 1" o:spid="_x0000_s1028" type="#_x0000_t202" alt="Classification: GENERAL" style="position:absolute;margin-left:-16.25pt;margin-top:0;width:34.95pt;height:34.9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" filled="f" stroked="f">
              <v:textbox style="mso-fit-shape-to-text:t" inset="0,0,20pt,15pt">
                <w:txbxContent>
                  <w:p w14:paraId="32DA010D" w14:textId="70670DB0" w:rsidR="009604CE" w:rsidRPr="009604CE" w:rsidRDefault="009604CE" w:rsidP="009604CE">
                    <w:pPr>
                      <w:rPr>
                        <w:rFonts w:ascii="Calibri" w:eastAsia="Calibri" w:hAnsi="Calibri" w:cs="Calibri"/>
                        <w:noProof/>
                        <w:color w:val="000000"/>
                        <w:sz w:val="20"/>
                        <w:szCs w:val="20"/>
                      </w:rPr>
                    </w:pPr>
                    <w:r w:rsidRPr="009604CE">
                      <w:rPr>
                        <w:rFonts w:ascii="Calibri" w:eastAsia="Calibri" w:hAnsi="Calibri" w:cs="Calibri"/>
                        <w:noProof/>
                        <w:color w:val="000000"/>
                        <w:sz w:val="20"/>
                        <w:szCs w:val="20"/>
                      </w:rPr>
                      <w:t>Classification: GENERAL</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B8564" w14:textId="77777777" w:rsidR="00DB576C" w:rsidRDefault="00DB576C">
      <w:r>
        <w:separator/>
      </w:r>
    </w:p>
  </w:footnote>
  <w:footnote w:type="continuationSeparator" w:id="0">
    <w:p w14:paraId="74DD6F36" w14:textId="77777777" w:rsidR="00DB576C" w:rsidRDefault="00DB5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CC250" w14:textId="77777777" w:rsidR="004656DD" w:rsidRDefault="004656DD" w:rsidP="006056FC">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14AA0798"/>
    <w:name w:val="WW8Num21"/>
    <w:lvl w:ilvl="0">
      <w:start w:val="1"/>
      <w:numFmt w:val="lowerLetter"/>
      <w:lvlText w:val="%1)"/>
      <w:lvlJc w:val="left"/>
      <w:pPr>
        <w:tabs>
          <w:tab w:val="num" w:pos="284"/>
        </w:tabs>
        <w:ind w:left="284" w:hanging="284"/>
      </w:pPr>
      <w:rPr>
        <w:sz w:val="24"/>
      </w:rPr>
    </w:lvl>
  </w:abstractNum>
  <w:abstractNum w:abstractNumId="1" w15:restartNumberingAfterBreak="0">
    <w:nsid w:val="00000020"/>
    <w:multiLevelType w:val="multilevel"/>
    <w:tmpl w:val="2684EDEC"/>
    <w:name w:val="WW8Num33"/>
    <w:lvl w:ilvl="0">
      <w:start w:val="1"/>
      <w:numFmt w:val="lowerLetter"/>
      <w:lvlText w:val="%1)"/>
      <w:lvlJc w:val="left"/>
      <w:pPr>
        <w:tabs>
          <w:tab w:val="num" w:pos="426"/>
        </w:tabs>
        <w:ind w:left="426" w:hanging="284"/>
      </w:pPr>
      <w:rPr>
        <w:sz w:val="24"/>
        <w:szCs w:val="24"/>
      </w:rPr>
    </w:lvl>
    <w:lvl w:ilvl="1">
      <w:start w:val="1"/>
      <w:numFmt w:val="decimal"/>
      <w:lvlText w:val="%2)"/>
      <w:lvlJc w:val="left"/>
      <w:pPr>
        <w:tabs>
          <w:tab w:val="num" w:pos="709"/>
        </w:tabs>
        <w:ind w:left="709" w:hanging="283"/>
      </w:pPr>
    </w:lvl>
    <w:lvl w:ilvl="2">
      <w:start w:val="1"/>
      <w:numFmt w:val="lowerRoman"/>
      <w:lvlText w:val="%3."/>
      <w:lvlJc w:val="lef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2" w15:restartNumberingAfterBreak="0">
    <w:nsid w:val="04A67219"/>
    <w:multiLevelType w:val="multilevel"/>
    <w:tmpl w:val="ABCE9366"/>
    <w:lvl w:ilvl="0">
      <w:start w:val="1"/>
      <w:numFmt w:val="upperLetter"/>
      <w:pStyle w:val="Nadpis1"/>
      <w:lvlText w:val="%1."/>
      <w:lvlJc w:val="left"/>
      <w:pPr>
        <w:ind w:left="360" w:hanging="360"/>
      </w:pPr>
    </w:lvl>
    <w:lvl w:ilvl="1">
      <w:start w:val="1"/>
      <w:numFmt w:val="decimal"/>
      <w:pStyle w:val="Nadpis2"/>
      <w:lvlText w:val="%1.%2"/>
      <w:lvlJc w:val="left"/>
      <w:pPr>
        <w:tabs>
          <w:tab w:val="num" w:pos="0"/>
        </w:tabs>
        <w:ind w:left="0" w:firstLine="0"/>
      </w:pPr>
    </w:lvl>
    <w:lvl w:ilvl="2">
      <w:start w:val="1"/>
      <w:numFmt w:val="decimal"/>
      <w:pStyle w:val="Nadpis3"/>
      <w:lvlText w:val="%1.%2.%3"/>
      <w:lvlJc w:val="left"/>
      <w:pPr>
        <w:tabs>
          <w:tab w:val="num" w:pos="567"/>
        </w:tabs>
        <w:ind w:left="567" w:hanging="567"/>
      </w:pPr>
    </w:lvl>
    <w:lvl w:ilvl="3">
      <w:start w:val="1"/>
      <w:numFmt w:val="decimal"/>
      <w:pStyle w:val="Nadpis4"/>
      <w:lvlText w:val="%1.%2.%3.%4"/>
      <w:lvlJc w:val="left"/>
      <w:pPr>
        <w:tabs>
          <w:tab w:val="num" w:pos="0"/>
        </w:tabs>
        <w:ind w:left="0" w:firstLine="0"/>
      </w:pPr>
    </w:lvl>
    <w:lvl w:ilvl="4">
      <w:start w:val="1"/>
      <w:numFmt w:val="decimal"/>
      <w:pStyle w:val="Nadpis5"/>
      <w:lvlText w:val="%1.%2.%3.%4.%5"/>
      <w:lvlJc w:val="left"/>
      <w:pPr>
        <w:tabs>
          <w:tab w:val="num" w:pos="0"/>
        </w:tabs>
        <w:ind w:left="0" w:firstLine="0"/>
      </w:pPr>
    </w:lvl>
    <w:lvl w:ilvl="5">
      <w:start w:val="1"/>
      <w:numFmt w:val="decimal"/>
      <w:pStyle w:val="Nadpis6"/>
      <w:lvlText w:val="%1.%2.%3.%4.%5.%6"/>
      <w:lvlJc w:val="left"/>
      <w:pPr>
        <w:tabs>
          <w:tab w:val="num" w:pos="0"/>
        </w:tabs>
        <w:ind w:left="0" w:firstLine="0"/>
      </w:pPr>
    </w:lvl>
    <w:lvl w:ilvl="6">
      <w:start w:val="1"/>
      <w:numFmt w:val="decimal"/>
      <w:pStyle w:val="Nadpis7"/>
      <w:lvlText w:val="%1.%2.%3.%4.%5.%6.%7"/>
      <w:lvlJc w:val="left"/>
      <w:pPr>
        <w:tabs>
          <w:tab w:val="num" w:pos="0"/>
        </w:tabs>
        <w:ind w:left="0" w:firstLine="0"/>
      </w:pPr>
    </w:lvl>
    <w:lvl w:ilvl="7">
      <w:start w:val="1"/>
      <w:numFmt w:val="decimal"/>
      <w:pStyle w:val="Nadpis8"/>
      <w:lvlText w:val="%1.%2.%3.%4.%5.%6.%7.%8"/>
      <w:lvlJc w:val="left"/>
      <w:pPr>
        <w:tabs>
          <w:tab w:val="num" w:pos="0"/>
        </w:tabs>
        <w:ind w:left="0" w:firstLine="0"/>
      </w:pPr>
    </w:lvl>
    <w:lvl w:ilvl="8">
      <w:start w:val="1"/>
      <w:numFmt w:val="decimal"/>
      <w:pStyle w:val="Nadpis9"/>
      <w:lvlText w:val="%1.%2.%3.%4.%5.%6.%7.%8.%9"/>
      <w:lvlJc w:val="left"/>
      <w:pPr>
        <w:tabs>
          <w:tab w:val="num" w:pos="0"/>
        </w:tabs>
        <w:ind w:left="0" w:firstLine="0"/>
      </w:pPr>
    </w:lvl>
  </w:abstractNum>
  <w:abstractNum w:abstractNumId="3" w15:restartNumberingAfterBreak="0">
    <w:nsid w:val="08544123"/>
    <w:multiLevelType w:val="hybridMultilevel"/>
    <w:tmpl w:val="404E634A"/>
    <w:lvl w:ilvl="0" w:tplc="7B76D016">
      <w:start w:val="6"/>
      <w:numFmt w:val="bullet"/>
      <w:lvlText w:val="-"/>
      <w:lvlJc w:val="left"/>
      <w:pPr>
        <w:ind w:left="720" w:hanging="360"/>
      </w:pPr>
      <w:rPr>
        <w:rFonts w:ascii="Times New Roman" w:eastAsia="Times New Roman" w:hAnsi="Times New Roman" w:cs="Times New Roman" w:hint="default"/>
      </w:rPr>
    </w:lvl>
    <w:lvl w:ilvl="1" w:tplc="8FA41CEE" w:tentative="1">
      <w:start w:val="1"/>
      <w:numFmt w:val="bullet"/>
      <w:lvlText w:val="o"/>
      <w:lvlJc w:val="left"/>
      <w:pPr>
        <w:ind w:left="1440" w:hanging="360"/>
      </w:pPr>
      <w:rPr>
        <w:rFonts w:ascii="Courier New" w:hAnsi="Courier New" w:cs="Courier New" w:hint="default"/>
      </w:rPr>
    </w:lvl>
    <w:lvl w:ilvl="2" w:tplc="25B862F4" w:tentative="1">
      <w:start w:val="1"/>
      <w:numFmt w:val="bullet"/>
      <w:lvlText w:val=""/>
      <w:lvlJc w:val="left"/>
      <w:pPr>
        <w:ind w:left="2160" w:hanging="360"/>
      </w:pPr>
      <w:rPr>
        <w:rFonts w:ascii="Wingdings" w:hAnsi="Wingdings" w:hint="default"/>
      </w:rPr>
    </w:lvl>
    <w:lvl w:ilvl="3" w:tplc="C91A6E78" w:tentative="1">
      <w:start w:val="1"/>
      <w:numFmt w:val="bullet"/>
      <w:lvlText w:val=""/>
      <w:lvlJc w:val="left"/>
      <w:pPr>
        <w:ind w:left="2880" w:hanging="360"/>
      </w:pPr>
      <w:rPr>
        <w:rFonts w:ascii="Symbol" w:hAnsi="Symbol" w:hint="default"/>
      </w:rPr>
    </w:lvl>
    <w:lvl w:ilvl="4" w:tplc="7F1CCA1C" w:tentative="1">
      <w:start w:val="1"/>
      <w:numFmt w:val="bullet"/>
      <w:lvlText w:val="o"/>
      <w:lvlJc w:val="left"/>
      <w:pPr>
        <w:ind w:left="3600" w:hanging="360"/>
      </w:pPr>
      <w:rPr>
        <w:rFonts w:ascii="Courier New" w:hAnsi="Courier New" w:cs="Courier New" w:hint="default"/>
      </w:rPr>
    </w:lvl>
    <w:lvl w:ilvl="5" w:tplc="104A5EC4" w:tentative="1">
      <w:start w:val="1"/>
      <w:numFmt w:val="bullet"/>
      <w:lvlText w:val=""/>
      <w:lvlJc w:val="left"/>
      <w:pPr>
        <w:ind w:left="4320" w:hanging="360"/>
      </w:pPr>
      <w:rPr>
        <w:rFonts w:ascii="Wingdings" w:hAnsi="Wingdings" w:hint="default"/>
      </w:rPr>
    </w:lvl>
    <w:lvl w:ilvl="6" w:tplc="D910FBFA" w:tentative="1">
      <w:start w:val="1"/>
      <w:numFmt w:val="bullet"/>
      <w:lvlText w:val=""/>
      <w:lvlJc w:val="left"/>
      <w:pPr>
        <w:ind w:left="5040" w:hanging="360"/>
      </w:pPr>
      <w:rPr>
        <w:rFonts w:ascii="Symbol" w:hAnsi="Symbol" w:hint="default"/>
      </w:rPr>
    </w:lvl>
    <w:lvl w:ilvl="7" w:tplc="52528220" w:tentative="1">
      <w:start w:val="1"/>
      <w:numFmt w:val="bullet"/>
      <w:lvlText w:val="o"/>
      <w:lvlJc w:val="left"/>
      <w:pPr>
        <w:ind w:left="5760" w:hanging="360"/>
      </w:pPr>
      <w:rPr>
        <w:rFonts w:ascii="Courier New" w:hAnsi="Courier New" w:cs="Courier New" w:hint="default"/>
      </w:rPr>
    </w:lvl>
    <w:lvl w:ilvl="8" w:tplc="7FEE45DE" w:tentative="1">
      <w:start w:val="1"/>
      <w:numFmt w:val="bullet"/>
      <w:lvlText w:val=""/>
      <w:lvlJc w:val="left"/>
      <w:pPr>
        <w:ind w:left="6480" w:hanging="360"/>
      </w:pPr>
      <w:rPr>
        <w:rFonts w:ascii="Wingdings" w:hAnsi="Wingdings" w:hint="default"/>
      </w:rPr>
    </w:lvl>
  </w:abstractNum>
  <w:abstractNum w:abstractNumId="4" w15:restartNumberingAfterBreak="0">
    <w:nsid w:val="10205714"/>
    <w:multiLevelType w:val="hybridMultilevel"/>
    <w:tmpl w:val="D61803B4"/>
    <w:lvl w:ilvl="0" w:tplc="0F86D848">
      <w:start w:val="1"/>
      <w:numFmt w:val="bullet"/>
      <w:lvlText w:val=""/>
      <w:lvlJc w:val="left"/>
      <w:pPr>
        <w:ind w:left="1080" w:hanging="360"/>
      </w:pPr>
      <w:rPr>
        <w:rFonts w:ascii="Symbol" w:hAnsi="Symbol" w:hint="default"/>
      </w:rPr>
    </w:lvl>
    <w:lvl w:ilvl="1" w:tplc="ED6E5CE2">
      <w:start w:val="1"/>
      <w:numFmt w:val="bullet"/>
      <w:lvlText w:val=""/>
      <w:lvlJc w:val="left"/>
      <w:pPr>
        <w:ind w:left="1800" w:hanging="360"/>
      </w:pPr>
      <w:rPr>
        <w:rFonts w:ascii="Symbol" w:hAnsi="Symbol" w:hint="default"/>
      </w:rPr>
    </w:lvl>
    <w:lvl w:ilvl="2" w:tplc="CB68E860" w:tentative="1">
      <w:start w:val="1"/>
      <w:numFmt w:val="bullet"/>
      <w:lvlText w:val=""/>
      <w:lvlJc w:val="left"/>
      <w:pPr>
        <w:ind w:left="2520" w:hanging="360"/>
      </w:pPr>
      <w:rPr>
        <w:rFonts w:ascii="Wingdings" w:hAnsi="Wingdings" w:hint="default"/>
      </w:rPr>
    </w:lvl>
    <w:lvl w:ilvl="3" w:tplc="5A1682EA" w:tentative="1">
      <w:start w:val="1"/>
      <w:numFmt w:val="bullet"/>
      <w:lvlText w:val=""/>
      <w:lvlJc w:val="left"/>
      <w:pPr>
        <w:ind w:left="3240" w:hanging="360"/>
      </w:pPr>
      <w:rPr>
        <w:rFonts w:ascii="Symbol" w:hAnsi="Symbol" w:hint="default"/>
      </w:rPr>
    </w:lvl>
    <w:lvl w:ilvl="4" w:tplc="B79ED6EE" w:tentative="1">
      <w:start w:val="1"/>
      <w:numFmt w:val="bullet"/>
      <w:lvlText w:val="o"/>
      <w:lvlJc w:val="left"/>
      <w:pPr>
        <w:ind w:left="3960" w:hanging="360"/>
      </w:pPr>
      <w:rPr>
        <w:rFonts w:ascii="Courier New" w:hAnsi="Courier New" w:cs="Courier New" w:hint="default"/>
      </w:rPr>
    </w:lvl>
    <w:lvl w:ilvl="5" w:tplc="EBFEFDD6" w:tentative="1">
      <w:start w:val="1"/>
      <w:numFmt w:val="bullet"/>
      <w:lvlText w:val=""/>
      <w:lvlJc w:val="left"/>
      <w:pPr>
        <w:ind w:left="4680" w:hanging="360"/>
      </w:pPr>
      <w:rPr>
        <w:rFonts w:ascii="Wingdings" w:hAnsi="Wingdings" w:hint="default"/>
      </w:rPr>
    </w:lvl>
    <w:lvl w:ilvl="6" w:tplc="9CEC785C" w:tentative="1">
      <w:start w:val="1"/>
      <w:numFmt w:val="bullet"/>
      <w:lvlText w:val=""/>
      <w:lvlJc w:val="left"/>
      <w:pPr>
        <w:ind w:left="5400" w:hanging="360"/>
      </w:pPr>
      <w:rPr>
        <w:rFonts w:ascii="Symbol" w:hAnsi="Symbol" w:hint="default"/>
      </w:rPr>
    </w:lvl>
    <w:lvl w:ilvl="7" w:tplc="04A46A54" w:tentative="1">
      <w:start w:val="1"/>
      <w:numFmt w:val="bullet"/>
      <w:lvlText w:val="o"/>
      <w:lvlJc w:val="left"/>
      <w:pPr>
        <w:ind w:left="6120" w:hanging="360"/>
      </w:pPr>
      <w:rPr>
        <w:rFonts w:ascii="Courier New" w:hAnsi="Courier New" w:cs="Courier New" w:hint="default"/>
      </w:rPr>
    </w:lvl>
    <w:lvl w:ilvl="8" w:tplc="AF0852C0" w:tentative="1">
      <w:start w:val="1"/>
      <w:numFmt w:val="bullet"/>
      <w:lvlText w:val=""/>
      <w:lvlJc w:val="left"/>
      <w:pPr>
        <w:ind w:left="6840" w:hanging="360"/>
      </w:pPr>
      <w:rPr>
        <w:rFonts w:ascii="Wingdings" w:hAnsi="Wingdings" w:hint="default"/>
      </w:rPr>
    </w:lvl>
  </w:abstractNum>
  <w:abstractNum w:abstractNumId="5" w15:restartNumberingAfterBreak="1">
    <w:nsid w:val="11261E62"/>
    <w:multiLevelType w:val="hybridMultilevel"/>
    <w:tmpl w:val="9C82D04E"/>
    <w:lvl w:ilvl="0" w:tplc="0DE2DDD0">
      <w:start w:val="1"/>
      <w:numFmt w:val="bullet"/>
      <w:lvlText w:val=""/>
      <w:lvlJc w:val="left"/>
      <w:pPr>
        <w:tabs>
          <w:tab w:val="num" w:pos="720"/>
        </w:tabs>
        <w:ind w:left="720" w:hanging="360"/>
      </w:pPr>
      <w:rPr>
        <w:rFonts w:ascii="Symbol" w:hAnsi="Symbol" w:hint="default"/>
        <w:color w:val="auto"/>
      </w:rPr>
    </w:lvl>
    <w:lvl w:ilvl="1" w:tplc="F3B0639A" w:tentative="1">
      <w:start w:val="1"/>
      <w:numFmt w:val="bullet"/>
      <w:lvlText w:val="o"/>
      <w:lvlJc w:val="left"/>
      <w:pPr>
        <w:tabs>
          <w:tab w:val="num" w:pos="1440"/>
        </w:tabs>
        <w:ind w:left="1440" w:hanging="360"/>
      </w:pPr>
      <w:rPr>
        <w:rFonts w:ascii="Courier New" w:hAnsi="Courier New" w:cs="Courier New" w:hint="default"/>
      </w:rPr>
    </w:lvl>
    <w:lvl w:ilvl="2" w:tplc="6DBC4D10" w:tentative="1">
      <w:start w:val="1"/>
      <w:numFmt w:val="bullet"/>
      <w:lvlText w:val=""/>
      <w:lvlJc w:val="left"/>
      <w:pPr>
        <w:tabs>
          <w:tab w:val="num" w:pos="2160"/>
        </w:tabs>
        <w:ind w:left="2160" w:hanging="360"/>
      </w:pPr>
      <w:rPr>
        <w:rFonts w:ascii="Wingdings" w:hAnsi="Wingdings" w:hint="default"/>
      </w:rPr>
    </w:lvl>
    <w:lvl w:ilvl="3" w:tplc="C19AAC5A" w:tentative="1">
      <w:start w:val="1"/>
      <w:numFmt w:val="bullet"/>
      <w:lvlText w:val=""/>
      <w:lvlJc w:val="left"/>
      <w:pPr>
        <w:tabs>
          <w:tab w:val="num" w:pos="2880"/>
        </w:tabs>
        <w:ind w:left="2880" w:hanging="360"/>
      </w:pPr>
      <w:rPr>
        <w:rFonts w:ascii="Symbol" w:hAnsi="Symbol" w:hint="default"/>
      </w:rPr>
    </w:lvl>
    <w:lvl w:ilvl="4" w:tplc="AA5893C8" w:tentative="1">
      <w:start w:val="1"/>
      <w:numFmt w:val="bullet"/>
      <w:lvlText w:val="o"/>
      <w:lvlJc w:val="left"/>
      <w:pPr>
        <w:tabs>
          <w:tab w:val="num" w:pos="3600"/>
        </w:tabs>
        <w:ind w:left="3600" w:hanging="360"/>
      </w:pPr>
      <w:rPr>
        <w:rFonts w:ascii="Courier New" w:hAnsi="Courier New" w:cs="Courier New" w:hint="default"/>
      </w:rPr>
    </w:lvl>
    <w:lvl w:ilvl="5" w:tplc="F97828E8" w:tentative="1">
      <w:start w:val="1"/>
      <w:numFmt w:val="bullet"/>
      <w:lvlText w:val=""/>
      <w:lvlJc w:val="left"/>
      <w:pPr>
        <w:tabs>
          <w:tab w:val="num" w:pos="4320"/>
        </w:tabs>
        <w:ind w:left="4320" w:hanging="360"/>
      </w:pPr>
      <w:rPr>
        <w:rFonts w:ascii="Wingdings" w:hAnsi="Wingdings" w:hint="default"/>
      </w:rPr>
    </w:lvl>
    <w:lvl w:ilvl="6" w:tplc="ACFE04C4" w:tentative="1">
      <w:start w:val="1"/>
      <w:numFmt w:val="bullet"/>
      <w:lvlText w:val=""/>
      <w:lvlJc w:val="left"/>
      <w:pPr>
        <w:tabs>
          <w:tab w:val="num" w:pos="5040"/>
        </w:tabs>
        <w:ind w:left="5040" w:hanging="360"/>
      </w:pPr>
      <w:rPr>
        <w:rFonts w:ascii="Symbol" w:hAnsi="Symbol" w:hint="default"/>
      </w:rPr>
    </w:lvl>
    <w:lvl w:ilvl="7" w:tplc="0C72B3B6" w:tentative="1">
      <w:start w:val="1"/>
      <w:numFmt w:val="bullet"/>
      <w:lvlText w:val="o"/>
      <w:lvlJc w:val="left"/>
      <w:pPr>
        <w:tabs>
          <w:tab w:val="num" w:pos="5760"/>
        </w:tabs>
        <w:ind w:left="5760" w:hanging="360"/>
      </w:pPr>
      <w:rPr>
        <w:rFonts w:ascii="Courier New" w:hAnsi="Courier New" w:cs="Courier New" w:hint="default"/>
      </w:rPr>
    </w:lvl>
    <w:lvl w:ilvl="8" w:tplc="BBDC6B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F06E4"/>
    <w:multiLevelType w:val="hybridMultilevel"/>
    <w:tmpl w:val="A58A3A94"/>
    <w:lvl w:ilvl="0" w:tplc="B63A6732">
      <w:start w:val="1"/>
      <w:numFmt w:val="bullet"/>
      <w:lvlText w:val=""/>
      <w:lvlJc w:val="left"/>
      <w:pPr>
        <w:ind w:left="720" w:hanging="360"/>
      </w:pPr>
      <w:rPr>
        <w:rFonts w:ascii="Wingdings" w:hAnsi="Wingdings" w:hint="default"/>
      </w:rPr>
    </w:lvl>
    <w:lvl w:ilvl="1" w:tplc="82F20EB6" w:tentative="1">
      <w:start w:val="1"/>
      <w:numFmt w:val="bullet"/>
      <w:lvlText w:val="o"/>
      <w:lvlJc w:val="left"/>
      <w:pPr>
        <w:ind w:left="1440" w:hanging="360"/>
      </w:pPr>
      <w:rPr>
        <w:rFonts w:ascii="Courier New" w:hAnsi="Courier New" w:cs="Courier New" w:hint="default"/>
      </w:rPr>
    </w:lvl>
    <w:lvl w:ilvl="2" w:tplc="C01ECB5A" w:tentative="1">
      <w:start w:val="1"/>
      <w:numFmt w:val="bullet"/>
      <w:lvlText w:val=""/>
      <w:lvlJc w:val="left"/>
      <w:pPr>
        <w:ind w:left="2160" w:hanging="360"/>
      </w:pPr>
      <w:rPr>
        <w:rFonts w:ascii="Wingdings" w:hAnsi="Wingdings" w:hint="default"/>
      </w:rPr>
    </w:lvl>
    <w:lvl w:ilvl="3" w:tplc="CDAE34F8" w:tentative="1">
      <w:start w:val="1"/>
      <w:numFmt w:val="bullet"/>
      <w:lvlText w:val=""/>
      <w:lvlJc w:val="left"/>
      <w:pPr>
        <w:ind w:left="2880" w:hanging="360"/>
      </w:pPr>
      <w:rPr>
        <w:rFonts w:ascii="Symbol" w:hAnsi="Symbol" w:hint="default"/>
      </w:rPr>
    </w:lvl>
    <w:lvl w:ilvl="4" w:tplc="98C8BD44" w:tentative="1">
      <w:start w:val="1"/>
      <w:numFmt w:val="bullet"/>
      <w:lvlText w:val="o"/>
      <w:lvlJc w:val="left"/>
      <w:pPr>
        <w:ind w:left="3600" w:hanging="360"/>
      </w:pPr>
      <w:rPr>
        <w:rFonts w:ascii="Courier New" w:hAnsi="Courier New" w:cs="Courier New" w:hint="default"/>
      </w:rPr>
    </w:lvl>
    <w:lvl w:ilvl="5" w:tplc="87E6F91A" w:tentative="1">
      <w:start w:val="1"/>
      <w:numFmt w:val="bullet"/>
      <w:lvlText w:val=""/>
      <w:lvlJc w:val="left"/>
      <w:pPr>
        <w:ind w:left="4320" w:hanging="360"/>
      </w:pPr>
      <w:rPr>
        <w:rFonts w:ascii="Wingdings" w:hAnsi="Wingdings" w:hint="default"/>
      </w:rPr>
    </w:lvl>
    <w:lvl w:ilvl="6" w:tplc="E9C4AD06" w:tentative="1">
      <w:start w:val="1"/>
      <w:numFmt w:val="bullet"/>
      <w:lvlText w:val=""/>
      <w:lvlJc w:val="left"/>
      <w:pPr>
        <w:ind w:left="5040" w:hanging="360"/>
      </w:pPr>
      <w:rPr>
        <w:rFonts w:ascii="Symbol" w:hAnsi="Symbol" w:hint="default"/>
      </w:rPr>
    </w:lvl>
    <w:lvl w:ilvl="7" w:tplc="3B8CDAD0" w:tentative="1">
      <w:start w:val="1"/>
      <w:numFmt w:val="bullet"/>
      <w:lvlText w:val="o"/>
      <w:lvlJc w:val="left"/>
      <w:pPr>
        <w:ind w:left="5760" w:hanging="360"/>
      </w:pPr>
      <w:rPr>
        <w:rFonts w:ascii="Courier New" w:hAnsi="Courier New" w:cs="Courier New" w:hint="default"/>
      </w:rPr>
    </w:lvl>
    <w:lvl w:ilvl="8" w:tplc="01E88446" w:tentative="1">
      <w:start w:val="1"/>
      <w:numFmt w:val="bullet"/>
      <w:lvlText w:val=""/>
      <w:lvlJc w:val="left"/>
      <w:pPr>
        <w:ind w:left="6480" w:hanging="360"/>
      </w:pPr>
      <w:rPr>
        <w:rFonts w:ascii="Wingdings" w:hAnsi="Wingdings" w:hint="default"/>
      </w:rPr>
    </w:lvl>
  </w:abstractNum>
  <w:abstractNum w:abstractNumId="7" w15:restartNumberingAfterBreak="0">
    <w:nsid w:val="1A015C51"/>
    <w:multiLevelType w:val="hybridMultilevel"/>
    <w:tmpl w:val="D386346A"/>
    <w:lvl w:ilvl="0" w:tplc="B2946288">
      <w:start w:val="2"/>
      <w:numFmt w:val="bullet"/>
      <w:lvlText w:val="-"/>
      <w:lvlJc w:val="left"/>
      <w:pPr>
        <w:ind w:left="720" w:hanging="360"/>
      </w:pPr>
      <w:rPr>
        <w:rFonts w:ascii="Arial Narrow" w:eastAsia="Times New Roman" w:hAnsi="Arial Narrow" w:hint="default"/>
      </w:rPr>
    </w:lvl>
    <w:lvl w:ilvl="1" w:tplc="7FA455B2" w:tentative="1">
      <w:start w:val="1"/>
      <w:numFmt w:val="bullet"/>
      <w:lvlText w:val="o"/>
      <w:lvlJc w:val="left"/>
      <w:pPr>
        <w:ind w:left="1440" w:hanging="360"/>
      </w:pPr>
      <w:rPr>
        <w:rFonts w:ascii="Courier New" w:hAnsi="Courier New" w:cs="Courier New" w:hint="default"/>
      </w:rPr>
    </w:lvl>
    <w:lvl w:ilvl="2" w:tplc="02C6AE8C" w:tentative="1">
      <w:start w:val="1"/>
      <w:numFmt w:val="bullet"/>
      <w:lvlText w:val=""/>
      <w:lvlJc w:val="left"/>
      <w:pPr>
        <w:ind w:left="2160" w:hanging="360"/>
      </w:pPr>
      <w:rPr>
        <w:rFonts w:ascii="Wingdings" w:hAnsi="Wingdings" w:hint="default"/>
      </w:rPr>
    </w:lvl>
    <w:lvl w:ilvl="3" w:tplc="B70E09A6" w:tentative="1">
      <w:start w:val="1"/>
      <w:numFmt w:val="bullet"/>
      <w:lvlText w:val=""/>
      <w:lvlJc w:val="left"/>
      <w:pPr>
        <w:ind w:left="2880" w:hanging="360"/>
      </w:pPr>
      <w:rPr>
        <w:rFonts w:ascii="Symbol" w:hAnsi="Symbol" w:hint="default"/>
      </w:rPr>
    </w:lvl>
    <w:lvl w:ilvl="4" w:tplc="613EE1CC" w:tentative="1">
      <w:start w:val="1"/>
      <w:numFmt w:val="bullet"/>
      <w:lvlText w:val="o"/>
      <w:lvlJc w:val="left"/>
      <w:pPr>
        <w:ind w:left="3600" w:hanging="360"/>
      </w:pPr>
      <w:rPr>
        <w:rFonts w:ascii="Courier New" w:hAnsi="Courier New" w:cs="Courier New" w:hint="default"/>
      </w:rPr>
    </w:lvl>
    <w:lvl w:ilvl="5" w:tplc="ED326032" w:tentative="1">
      <w:start w:val="1"/>
      <w:numFmt w:val="bullet"/>
      <w:lvlText w:val=""/>
      <w:lvlJc w:val="left"/>
      <w:pPr>
        <w:ind w:left="4320" w:hanging="360"/>
      </w:pPr>
      <w:rPr>
        <w:rFonts w:ascii="Wingdings" w:hAnsi="Wingdings" w:hint="default"/>
      </w:rPr>
    </w:lvl>
    <w:lvl w:ilvl="6" w:tplc="DC068B12" w:tentative="1">
      <w:start w:val="1"/>
      <w:numFmt w:val="bullet"/>
      <w:lvlText w:val=""/>
      <w:lvlJc w:val="left"/>
      <w:pPr>
        <w:ind w:left="5040" w:hanging="360"/>
      </w:pPr>
      <w:rPr>
        <w:rFonts w:ascii="Symbol" w:hAnsi="Symbol" w:hint="default"/>
      </w:rPr>
    </w:lvl>
    <w:lvl w:ilvl="7" w:tplc="D3526E1E" w:tentative="1">
      <w:start w:val="1"/>
      <w:numFmt w:val="bullet"/>
      <w:lvlText w:val="o"/>
      <w:lvlJc w:val="left"/>
      <w:pPr>
        <w:ind w:left="5760" w:hanging="360"/>
      </w:pPr>
      <w:rPr>
        <w:rFonts w:ascii="Courier New" w:hAnsi="Courier New" w:cs="Courier New" w:hint="default"/>
      </w:rPr>
    </w:lvl>
    <w:lvl w:ilvl="8" w:tplc="00B228A2" w:tentative="1">
      <w:start w:val="1"/>
      <w:numFmt w:val="bullet"/>
      <w:lvlText w:val=""/>
      <w:lvlJc w:val="left"/>
      <w:pPr>
        <w:ind w:left="6480" w:hanging="360"/>
      </w:pPr>
      <w:rPr>
        <w:rFonts w:ascii="Wingdings" w:hAnsi="Wingdings" w:hint="default"/>
      </w:rPr>
    </w:lvl>
  </w:abstractNum>
  <w:abstractNum w:abstractNumId="8" w15:restartNumberingAfterBreak="0">
    <w:nsid w:val="1F34574E"/>
    <w:multiLevelType w:val="hybridMultilevel"/>
    <w:tmpl w:val="04603EBC"/>
    <w:lvl w:ilvl="0" w:tplc="D042EA98">
      <w:start w:val="1"/>
      <w:numFmt w:val="bullet"/>
      <w:lvlText w:val=""/>
      <w:lvlJc w:val="left"/>
      <w:pPr>
        <w:ind w:left="1080" w:hanging="360"/>
      </w:pPr>
      <w:rPr>
        <w:rFonts w:ascii="Symbol" w:hAnsi="Symbol" w:hint="default"/>
      </w:rPr>
    </w:lvl>
    <w:lvl w:ilvl="1" w:tplc="61F8CD16" w:tentative="1">
      <w:start w:val="1"/>
      <w:numFmt w:val="bullet"/>
      <w:lvlText w:val="o"/>
      <w:lvlJc w:val="left"/>
      <w:pPr>
        <w:ind w:left="1800" w:hanging="360"/>
      </w:pPr>
      <w:rPr>
        <w:rFonts w:ascii="Courier New" w:hAnsi="Courier New" w:cs="Courier New" w:hint="default"/>
      </w:rPr>
    </w:lvl>
    <w:lvl w:ilvl="2" w:tplc="6F904EA0" w:tentative="1">
      <w:start w:val="1"/>
      <w:numFmt w:val="bullet"/>
      <w:lvlText w:val=""/>
      <w:lvlJc w:val="left"/>
      <w:pPr>
        <w:ind w:left="2520" w:hanging="360"/>
      </w:pPr>
      <w:rPr>
        <w:rFonts w:ascii="Wingdings" w:hAnsi="Wingdings" w:hint="default"/>
      </w:rPr>
    </w:lvl>
    <w:lvl w:ilvl="3" w:tplc="D25E116A" w:tentative="1">
      <w:start w:val="1"/>
      <w:numFmt w:val="bullet"/>
      <w:lvlText w:val=""/>
      <w:lvlJc w:val="left"/>
      <w:pPr>
        <w:ind w:left="3240" w:hanging="360"/>
      </w:pPr>
      <w:rPr>
        <w:rFonts w:ascii="Symbol" w:hAnsi="Symbol" w:hint="default"/>
      </w:rPr>
    </w:lvl>
    <w:lvl w:ilvl="4" w:tplc="78C45EDA" w:tentative="1">
      <w:start w:val="1"/>
      <w:numFmt w:val="bullet"/>
      <w:lvlText w:val="o"/>
      <w:lvlJc w:val="left"/>
      <w:pPr>
        <w:ind w:left="3960" w:hanging="360"/>
      </w:pPr>
      <w:rPr>
        <w:rFonts w:ascii="Courier New" w:hAnsi="Courier New" w:cs="Courier New" w:hint="default"/>
      </w:rPr>
    </w:lvl>
    <w:lvl w:ilvl="5" w:tplc="451E22D0" w:tentative="1">
      <w:start w:val="1"/>
      <w:numFmt w:val="bullet"/>
      <w:lvlText w:val=""/>
      <w:lvlJc w:val="left"/>
      <w:pPr>
        <w:ind w:left="4680" w:hanging="360"/>
      </w:pPr>
      <w:rPr>
        <w:rFonts w:ascii="Wingdings" w:hAnsi="Wingdings" w:hint="default"/>
      </w:rPr>
    </w:lvl>
    <w:lvl w:ilvl="6" w:tplc="E99CC264" w:tentative="1">
      <w:start w:val="1"/>
      <w:numFmt w:val="bullet"/>
      <w:lvlText w:val=""/>
      <w:lvlJc w:val="left"/>
      <w:pPr>
        <w:ind w:left="5400" w:hanging="360"/>
      </w:pPr>
      <w:rPr>
        <w:rFonts w:ascii="Symbol" w:hAnsi="Symbol" w:hint="default"/>
      </w:rPr>
    </w:lvl>
    <w:lvl w:ilvl="7" w:tplc="298EA980" w:tentative="1">
      <w:start w:val="1"/>
      <w:numFmt w:val="bullet"/>
      <w:lvlText w:val="o"/>
      <w:lvlJc w:val="left"/>
      <w:pPr>
        <w:ind w:left="6120" w:hanging="360"/>
      </w:pPr>
      <w:rPr>
        <w:rFonts w:ascii="Courier New" w:hAnsi="Courier New" w:cs="Courier New" w:hint="default"/>
      </w:rPr>
    </w:lvl>
    <w:lvl w:ilvl="8" w:tplc="01849912" w:tentative="1">
      <w:start w:val="1"/>
      <w:numFmt w:val="bullet"/>
      <w:lvlText w:val=""/>
      <w:lvlJc w:val="left"/>
      <w:pPr>
        <w:ind w:left="6840" w:hanging="360"/>
      </w:pPr>
      <w:rPr>
        <w:rFonts w:ascii="Wingdings" w:hAnsi="Wingdings" w:hint="default"/>
      </w:rPr>
    </w:lvl>
  </w:abstractNum>
  <w:abstractNum w:abstractNumId="9" w15:restartNumberingAfterBreak="0">
    <w:nsid w:val="26C873B9"/>
    <w:multiLevelType w:val="hybridMultilevel"/>
    <w:tmpl w:val="ED86DD9A"/>
    <w:lvl w:ilvl="0" w:tplc="CB868632">
      <w:start w:val="1"/>
      <w:numFmt w:val="bullet"/>
      <w:lvlText w:val=""/>
      <w:lvlJc w:val="left"/>
      <w:pPr>
        <w:ind w:left="720" w:hanging="360"/>
      </w:pPr>
      <w:rPr>
        <w:rFonts w:ascii="Symbol" w:hAnsi="Symbol" w:hint="default"/>
      </w:rPr>
    </w:lvl>
    <w:lvl w:ilvl="1" w:tplc="AEA8096C" w:tentative="1">
      <w:start w:val="1"/>
      <w:numFmt w:val="bullet"/>
      <w:lvlText w:val="o"/>
      <w:lvlJc w:val="left"/>
      <w:pPr>
        <w:ind w:left="1440" w:hanging="360"/>
      </w:pPr>
      <w:rPr>
        <w:rFonts w:ascii="Courier New" w:hAnsi="Courier New" w:cs="Courier New" w:hint="default"/>
      </w:rPr>
    </w:lvl>
    <w:lvl w:ilvl="2" w:tplc="E80E135E" w:tentative="1">
      <w:start w:val="1"/>
      <w:numFmt w:val="bullet"/>
      <w:lvlText w:val=""/>
      <w:lvlJc w:val="left"/>
      <w:pPr>
        <w:ind w:left="2160" w:hanging="360"/>
      </w:pPr>
      <w:rPr>
        <w:rFonts w:ascii="Wingdings" w:hAnsi="Wingdings" w:hint="default"/>
      </w:rPr>
    </w:lvl>
    <w:lvl w:ilvl="3" w:tplc="69704FC4" w:tentative="1">
      <w:start w:val="1"/>
      <w:numFmt w:val="bullet"/>
      <w:lvlText w:val=""/>
      <w:lvlJc w:val="left"/>
      <w:pPr>
        <w:ind w:left="2880" w:hanging="360"/>
      </w:pPr>
      <w:rPr>
        <w:rFonts w:ascii="Symbol" w:hAnsi="Symbol" w:hint="default"/>
      </w:rPr>
    </w:lvl>
    <w:lvl w:ilvl="4" w:tplc="9E3A8122" w:tentative="1">
      <w:start w:val="1"/>
      <w:numFmt w:val="bullet"/>
      <w:lvlText w:val="o"/>
      <w:lvlJc w:val="left"/>
      <w:pPr>
        <w:ind w:left="3600" w:hanging="360"/>
      </w:pPr>
      <w:rPr>
        <w:rFonts w:ascii="Courier New" w:hAnsi="Courier New" w:cs="Courier New" w:hint="default"/>
      </w:rPr>
    </w:lvl>
    <w:lvl w:ilvl="5" w:tplc="60F401FE" w:tentative="1">
      <w:start w:val="1"/>
      <w:numFmt w:val="bullet"/>
      <w:lvlText w:val=""/>
      <w:lvlJc w:val="left"/>
      <w:pPr>
        <w:ind w:left="4320" w:hanging="360"/>
      </w:pPr>
      <w:rPr>
        <w:rFonts w:ascii="Wingdings" w:hAnsi="Wingdings" w:hint="default"/>
      </w:rPr>
    </w:lvl>
    <w:lvl w:ilvl="6" w:tplc="C57243C8" w:tentative="1">
      <w:start w:val="1"/>
      <w:numFmt w:val="bullet"/>
      <w:lvlText w:val=""/>
      <w:lvlJc w:val="left"/>
      <w:pPr>
        <w:ind w:left="5040" w:hanging="360"/>
      </w:pPr>
      <w:rPr>
        <w:rFonts w:ascii="Symbol" w:hAnsi="Symbol" w:hint="default"/>
      </w:rPr>
    </w:lvl>
    <w:lvl w:ilvl="7" w:tplc="AA228428" w:tentative="1">
      <w:start w:val="1"/>
      <w:numFmt w:val="bullet"/>
      <w:lvlText w:val="o"/>
      <w:lvlJc w:val="left"/>
      <w:pPr>
        <w:ind w:left="5760" w:hanging="360"/>
      </w:pPr>
      <w:rPr>
        <w:rFonts w:ascii="Courier New" w:hAnsi="Courier New" w:cs="Courier New" w:hint="default"/>
      </w:rPr>
    </w:lvl>
    <w:lvl w:ilvl="8" w:tplc="5A90A2B0" w:tentative="1">
      <w:start w:val="1"/>
      <w:numFmt w:val="bullet"/>
      <w:lvlText w:val=""/>
      <w:lvlJc w:val="left"/>
      <w:pPr>
        <w:ind w:left="6480" w:hanging="360"/>
      </w:pPr>
      <w:rPr>
        <w:rFonts w:ascii="Wingdings" w:hAnsi="Wingdings" w:hint="default"/>
      </w:rPr>
    </w:lvl>
  </w:abstractNum>
  <w:abstractNum w:abstractNumId="10" w15:restartNumberingAfterBreak="0">
    <w:nsid w:val="297B7B3B"/>
    <w:multiLevelType w:val="multilevel"/>
    <w:tmpl w:val="EB5003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DD1AE9"/>
    <w:multiLevelType w:val="hybridMultilevel"/>
    <w:tmpl w:val="72FA6644"/>
    <w:lvl w:ilvl="0" w:tplc="7A06AC62">
      <w:start w:val="1"/>
      <w:numFmt w:val="bullet"/>
      <w:lvlText w:val=""/>
      <w:lvlJc w:val="left"/>
      <w:pPr>
        <w:ind w:left="720" w:hanging="360"/>
      </w:pPr>
      <w:rPr>
        <w:rFonts w:ascii="Symbol" w:hAnsi="Symbol" w:hint="default"/>
      </w:rPr>
    </w:lvl>
    <w:lvl w:ilvl="1" w:tplc="DB8E7AC4" w:tentative="1">
      <w:start w:val="1"/>
      <w:numFmt w:val="bullet"/>
      <w:lvlText w:val="o"/>
      <w:lvlJc w:val="left"/>
      <w:pPr>
        <w:ind w:left="1440" w:hanging="360"/>
      </w:pPr>
      <w:rPr>
        <w:rFonts w:ascii="Courier New" w:hAnsi="Courier New" w:cs="Courier New" w:hint="default"/>
      </w:rPr>
    </w:lvl>
    <w:lvl w:ilvl="2" w:tplc="2D50D9F8" w:tentative="1">
      <w:start w:val="1"/>
      <w:numFmt w:val="bullet"/>
      <w:lvlText w:val=""/>
      <w:lvlJc w:val="left"/>
      <w:pPr>
        <w:ind w:left="2160" w:hanging="360"/>
      </w:pPr>
      <w:rPr>
        <w:rFonts w:ascii="Wingdings" w:hAnsi="Wingdings" w:hint="default"/>
      </w:rPr>
    </w:lvl>
    <w:lvl w:ilvl="3" w:tplc="7F7E917E" w:tentative="1">
      <w:start w:val="1"/>
      <w:numFmt w:val="bullet"/>
      <w:lvlText w:val=""/>
      <w:lvlJc w:val="left"/>
      <w:pPr>
        <w:ind w:left="2880" w:hanging="360"/>
      </w:pPr>
      <w:rPr>
        <w:rFonts w:ascii="Symbol" w:hAnsi="Symbol" w:hint="default"/>
      </w:rPr>
    </w:lvl>
    <w:lvl w:ilvl="4" w:tplc="0DB09160" w:tentative="1">
      <w:start w:val="1"/>
      <w:numFmt w:val="bullet"/>
      <w:lvlText w:val="o"/>
      <w:lvlJc w:val="left"/>
      <w:pPr>
        <w:ind w:left="3600" w:hanging="360"/>
      </w:pPr>
      <w:rPr>
        <w:rFonts w:ascii="Courier New" w:hAnsi="Courier New" w:cs="Courier New" w:hint="default"/>
      </w:rPr>
    </w:lvl>
    <w:lvl w:ilvl="5" w:tplc="B6AED2CE" w:tentative="1">
      <w:start w:val="1"/>
      <w:numFmt w:val="bullet"/>
      <w:lvlText w:val=""/>
      <w:lvlJc w:val="left"/>
      <w:pPr>
        <w:ind w:left="4320" w:hanging="360"/>
      </w:pPr>
      <w:rPr>
        <w:rFonts w:ascii="Wingdings" w:hAnsi="Wingdings" w:hint="default"/>
      </w:rPr>
    </w:lvl>
    <w:lvl w:ilvl="6" w:tplc="C75ED42A" w:tentative="1">
      <w:start w:val="1"/>
      <w:numFmt w:val="bullet"/>
      <w:lvlText w:val=""/>
      <w:lvlJc w:val="left"/>
      <w:pPr>
        <w:ind w:left="5040" w:hanging="360"/>
      </w:pPr>
      <w:rPr>
        <w:rFonts w:ascii="Symbol" w:hAnsi="Symbol" w:hint="default"/>
      </w:rPr>
    </w:lvl>
    <w:lvl w:ilvl="7" w:tplc="D1289A3E" w:tentative="1">
      <w:start w:val="1"/>
      <w:numFmt w:val="bullet"/>
      <w:lvlText w:val="o"/>
      <w:lvlJc w:val="left"/>
      <w:pPr>
        <w:ind w:left="5760" w:hanging="360"/>
      </w:pPr>
      <w:rPr>
        <w:rFonts w:ascii="Courier New" w:hAnsi="Courier New" w:cs="Courier New" w:hint="default"/>
      </w:rPr>
    </w:lvl>
    <w:lvl w:ilvl="8" w:tplc="CC3A842A" w:tentative="1">
      <w:start w:val="1"/>
      <w:numFmt w:val="bullet"/>
      <w:lvlText w:val=""/>
      <w:lvlJc w:val="left"/>
      <w:pPr>
        <w:ind w:left="6480" w:hanging="360"/>
      </w:pPr>
      <w:rPr>
        <w:rFonts w:ascii="Wingdings" w:hAnsi="Wingdings" w:hint="default"/>
      </w:rPr>
    </w:lvl>
  </w:abstractNum>
  <w:abstractNum w:abstractNumId="12" w15:restartNumberingAfterBreak="0">
    <w:nsid w:val="39C744D1"/>
    <w:multiLevelType w:val="hybridMultilevel"/>
    <w:tmpl w:val="88B6340C"/>
    <w:lvl w:ilvl="0" w:tplc="8B44420A">
      <w:start w:val="1"/>
      <w:numFmt w:val="lowerLetter"/>
      <w:lvlText w:val="%1)"/>
      <w:lvlJc w:val="left"/>
      <w:pPr>
        <w:ind w:left="720" w:hanging="360"/>
      </w:pPr>
      <w:rPr>
        <w:rFonts w:ascii="Times New Roman" w:eastAsia="Calibri" w:hAnsi="Times New Roman" w:cs="Times New Roman"/>
      </w:rPr>
    </w:lvl>
    <w:lvl w:ilvl="1" w:tplc="C548FCD6" w:tentative="1">
      <w:start w:val="1"/>
      <w:numFmt w:val="bullet"/>
      <w:lvlText w:val="o"/>
      <w:lvlJc w:val="left"/>
      <w:pPr>
        <w:ind w:left="1440" w:hanging="360"/>
      </w:pPr>
      <w:rPr>
        <w:rFonts w:ascii="Courier New" w:hAnsi="Courier New" w:cs="Courier New" w:hint="default"/>
      </w:rPr>
    </w:lvl>
    <w:lvl w:ilvl="2" w:tplc="3F12E80A" w:tentative="1">
      <w:start w:val="1"/>
      <w:numFmt w:val="bullet"/>
      <w:lvlText w:val=""/>
      <w:lvlJc w:val="left"/>
      <w:pPr>
        <w:ind w:left="2160" w:hanging="360"/>
      </w:pPr>
      <w:rPr>
        <w:rFonts w:ascii="Wingdings" w:hAnsi="Wingdings" w:hint="default"/>
      </w:rPr>
    </w:lvl>
    <w:lvl w:ilvl="3" w:tplc="45BCACF2" w:tentative="1">
      <w:start w:val="1"/>
      <w:numFmt w:val="bullet"/>
      <w:lvlText w:val=""/>
      <w:lvlJc w:val="left"/>
      <w:pPr>
        <w:ind w:left="2880" w:hanging="360"/>
      </w:pPr>
      <w:rPr>
        <w:rFonts w:ascii="Symbol" w:hAnsi="Symbol" w:hint="default"/>
      </w:rPr>
    </w:lvl>
    <w:lvl w:ilvl="4" w:tplc="3CA03CE4" w:tentative="1">
      <w:start w:val="1"/>
      <w:numFmt w:val="bullet"/>
      <w:lvlText w:val="o"/>
      <w:lvlJc w:val="left"/>
      <w:pPr>
        <w:ind w:left="3600" w:hanging="360"/>
      </w:pPr>
      <w:rPr>
        <w:rFonts w:ascii="Courier New" w:hAnsi="Courier New" w:cs="Courier New" w:hint="default"/>
      </w:rPr>
    </w:lvl>
    <w:lvl w:ilvl="5" w:tplc="65828ABE" w:tentative="1">
      <w:start w:val="1"/>
      <w:numFmt w:val="bullet"/>
      <w:lvlText w:val=""/>
      <w:lvlJc w:val="left"/>
      <w:pPr>
        <w:ind w:left="4320" w:hanging="360"/>
      </w:pPr>
      <w:rPr>
        <w:rFonts w:ascii="Wingdings" w:hAnsi="Wingdings" w:hint="default"/>
      </w:rPr>
    </w:lvl>
    <w:lvl w:ilvl="6" w:tplc="17C07964" w:tentative="1">
      <w:start w:val="1"/>
      <w:numFmt w:val="bullet"/>
      <w:lvlText w:val=""/>
      <w:lvlJc w:val="left"/>
      <w:pPr>
        <w:ind w:left="5040" w:hanging="360"/>
      </w:pPr>
      <w:rPr>
        <w:rFonts w:ascii="Symbol" w:hAnsi="Symbol" w:hint="default"/>
      </w:rPr>
    </w:lvl>
    <w:lvl w:ilvl="7" w:tplc="97AC349C" w:tentative="1">
      <w:start w:val="1"/>
      <w:numFmt w:val="bullet"/>
      <w:lvlText w:val="o"/>
      <w:lvlJc w:val="left"/>
      <w:pPr>
        <w:ind w:left="5760" w:hanging="360"/>
      </w:pPr>
      <w:rPr>
        <w:rFonts w:ascii="Courier New" w:hAnsi="Courier New" w:cs="Courier New" w:hint="default"/>
      </w:rPr>
    </w:lvl>
    <w:lvl w:ilvl="8" w:tplc="A2B445F8" w:tentative="1">
      <w:start w:val="1"/>
      <w:numFmt w:val="bullet"/>
      <w:lvlText w:val=""/>
      <w:lvlJc w:val="left"/>
      <w:pPr>
        <w:ind w:left="6480" w:hanging="360"/>
      </w:pPr>
      <w:rPr>
        <w:rFonts w:ascii="Wingdings" w:hAnsi="Wingdings" w:hint="default"/>
      </w:rPr>
    </w:lvl>
  </w:abstractNum>
  <w:abstractNum w:abstractNumId="13" w15:restartNumberingAfterBreak="0">
    <w:nsid w:val="490217D9"/>
    <w:multiLevelType w:val="hybridMultilevel"/>
    <w:tmpl w:val="13F88918"/>
    <w:lvl w:ilvl="0" w:tplc="155CEC28">
      <w:start w:val="1"/>
      <w:numFmt w:val="lowerLetter"/>
      <w:lvlText w:val="%1)"/>
      <w:lvlJc w:val="left"/>
      <w:pPr>
        <w:ind w:left="720" w:hanging="360"/>
      </w:pPr>
    </w:lvl>
    <w:lvl w:ilvl="1" w:tplc="78827EB0" w:tentative="1">
      <w:start w:val="1"/>
      <w:numFmt w:val="lowerLetter"/>
      <w:lvlText w:val="%2."/>
      <w:lvlJc w:val="left"/>
      <w:pPr>
        <w:ind w:left="1440" w:hanging="360"/>
      </w:pPr>
    </w:lvl>
    <w:lvl w:ilvl="2" w:tplc="AADC531E" w:tentative="1">
      <w:start w:val="1"/>
      <w:numFmt w:val="lowerRoman"/>
      <w:lvlText w:val="%3."/>
      <w:lvlJc w:val="right"/>
      <w:pPr>
        <w:ind w:left="2160" w:hanging="180"/>
      </w:pPr>
    </w:lvl>
    <w:lvl w:ilvl="3" w:tplc="FDE6E92C" w:tentative="1">
      <w:start w:val="1"/>
      <w:numFmt w:val="decimal"/>
      <w:lvlText w:val="%4."/>
      <w:lvlJc w:val="left"/>
      <w:pPr>
        <w:ind w:left="2880" w:hanging="360"/>
      </w:pPr>
    </w:lvl>
    <w:lvl w:ilvl="4" w:tplc="C2B411CA" w:tentative="1">
      <w:start w:val="1"/>
      <w:numFmt w:val="lowerLetter"/>
      <w:lvlText w:val="%5."/>
      <w:lvlJc w:val="left"/>
      <w:pPr>
        <w:ind w:left="3600" w:hanging="360"/>
      </w:pPr>
    </w:lvl>
    <w:lvl w:ilvl="5" w:tplc="DA3EFBF6" w:tentative="1">
      <w:start w:val="1"/>
      <w:numFmt w:val="lowerRoman"/>
      <w:lvlText w:val="%6."/>
      <w:lvlJc w:val="right"/>
      <w:pPr>
        <w:ind w:left="4320" w:hanging="180"/>
      </w:pPr>
    </w:lvl>
    <w:lvl w:ilvl="6" w:tplc="A05C5F6C" w:tentative="1">
      <w:start w:val="1"/>
      <w:numFmt w:val="decimal"/>
      <w:lvlText w:val="%7."/>
      <w:lvlJc w:val="left"/>
      <w:pPr>
        <w:ind w:left="5040" w:hanging="360"/>
      </w:pPr>
    </w:lvl>
    <w:lvl w:ilvl="7" w:tplc="2E746A9C" w:tentative="1">
      <w:start w:val="1"/>
      <w:numFmt w:val="lowerLetter"/>
      <w:lvlText w:val="%8."/>
      <w:lvlJc w:val="left"/>
      <w:pPr>
        <w:ind w:left="5760" w:hanging="360"/>
      </w:pPr>
    </w:lvl>
    <w:lvl w:ilvl="8" w:tplc="68B095BE" w:tentative="1">
      <w:start w:val="1"/>
      <w:numFmt w:val="lowerRoman"/>
      <w:lvlText w:val="%9."/>
      <w:lvlJc w:val="right"/>
      <w:pPr>
        <w:ind w:left="6480" w:hanging="180"/>
      </w:pPr>
    </w:lvl>
  </w:abstractNum>
  <w:abstractNum w:abstractNumId="14" w15:restartNumberingAfterBreak="0">
    <w:nsid w:val="4C7620E4"/>
    <w:multiLevelType w:val="hybridMultilevel"/>
    <w:tmpl w:val="D0981118"/>
    <w:lvl w:ilvl="0" w:tplc="C9E26D70">
      <w:start w:val="1"/>
      <w:numFmt w:val="lowerLetter"/>
      <w:lvlText w:val="%1)"/>
      <w:lvlJc w:val="left"/>
      <w:pPr>
        <w:ind w:left="1004" w:hanging="360"/>
      </w:pPr>
      <w:rPr>
        <w:rFonts w:cs="Times New Roman" w:hint="default"/>
        <w:color w:val="auto"/>
      </w:rPr>
    </w:lvl>
    <w:lvl w:ilvl="1" w:tplc="F25C7AD0" w:tentative="1">
      <w:start w:val="1"/>
      <w:numFmt w:val="lowerLetter"/>
      <w:lvlText w:val="%2."/>
      <w:lvlJc w:val="left"/>
      <w:pPr>
        <w:ind w:left="1156" w:hanging="360"/>
      </w:pPr>
      <w:rPr>
        <w:rFonts w:cs="Times New Roman"/>
      </w:rPr>
    </w:lvl>
    <w:lvl w:ilvl="2" w:tplc="DA766F9C" w:tentative="1">
      <w:start w:val="1"/>
      <w:numFmt w:val="lowerRoman"/>
      <w:lvlText w:val="%3."/>
      <w:lvlJc w:val="right"/>
      <w:pPr>
        <w:ind w:left="1876" w:hanging="180"/>
      </w:pPr>
      <w:rPr>
        <w:rFonts w:cs="Times New Roman"/>
      </w:rPr>
    </w:lvl>
    <w:lvl w:ilvl="3" w:tplc="15F81C1A" w:tentative="1">
      <w:start w:val="1"/>
      <w:numFmt w:val="decimal"/>
      <w:lvlText w:val="%4."/>
      <w:lvlJc w:val="left"/>
      <w:pPr>
        <w:ind w:left="2596" w:hanging="360"/>
      </w:pPr>
      <w:rPr>
        <w:rFonts w:cs="Times New Roman"/>
      </w:rPr>
    </w:lvl>
    <w:lvl w:ilvl="4" w:tplc="98405950" w:tentative="1">
      <w:start w:val="1"/>
      <w:numFmt w:val="lowerLetter"/>
      <w:lvlText w:val="%5."/>
      <w:lvlJc w:val="left"/>
      <w:pPr>
        <w:ind w:left="3316" w:hanging="360"/>
      </w:pPr>
      <w:rPr>
        <w:rFonts w:cs="Times New Roman"/>
      </w:rPr>
    </w:lvl>
    <w:lvl w:ilvl="5" w:tplc="D076C892" w:tentative="1">
      <w:start w:val="1"/>
      <w:numFmt w:val="lowerRoman"/>
      <w:lvlText w:val="%6."/>
      <w:lvlJc w:val="right"/>
      <w:pPr>
        <w:ind w:left="4036" w:hanging="180"/>
      </w:pPr>
      <w:rPr>
        <w:rFonts w:cs="Times New Roman"/>
      </w:rPr>
    </w:lvl>
    <w:lvl w:ilvl="6" w:tplc="02000B90" w:tentative="1">
      <w:start w:val="1"/>
      <w:numFmt w:val="decimal"/>
      <w:lvlText w:val="%7."/>
      <w:lvlJc w:val="left"/>
      <w:pPr>
        <w:ind w:left="4756" w:hanging="360"/>
      </w:pPr>
      <w:rPr>
        <w:rFonts w:cs="Times New Roman"/>
      </w:rPr>
    </w:lvl>
    <w:lvl w:ilvl="7" w:tplc="D700B57E" w:tentative="1">
      <w:start w:val="1"/>
      <w:numFmt w:val="lowerLetter"/>
      <w:lvlText w:val="%8."/>
      <w:lvlJc w:val="left"/>
      <w:pPr>
        <w:ind w:left="5476" w:hanging="360"/>
      </w:pPr>
      <w:rPr>
        <w:rFonts w:cs="Times New Roman"/>
      </w:rPr>
    </w:lvl>
    <w:lvl w:ilvl="8" w:tplc="1D6C2ADC" w:tentative="1">
      <w:start w:val="1"/>
      <w:numFmt w:val="lowerRoman"/>
      <w:lvlText w:val="%9."/>
      <w:lvlJc w:val="right"/>
      <w:pPr>
        <w:ind w:left="6196" w:hanging="180"/>
      </w:pPr>
      <w:rPr>
        <w:rFonts w:cs="Times New Roman"/>
      </w:rPr>
    </w:lvl>
  </w:abstractNum>
  <w:abstractNum w:abstractNumId="15" w15:restartNumberingAfterBreak="0">
    <w:nsid w:val="4CBA4468"/>
    <w:multiLevelType w:val="multilevel"/>
    <w:tmpl w:val="2168FD2E"/>
    <w:styleLink w:val="RKcislovanitechzprav"/>
    <w:lvl w:ilvl="0">
      <w:start w:val="1"/>
      <w:numFmt w:val="lowerLetter"/>
      <w:pStyle w:val="RKnadpissmalypismenem"/>
      <w:lvlText w:val="%1)"/>
      <w:lvlJc w:val="left"/>
    </w:lvl>
    <w:lvl w:ilvl="1">
      <w:start w:val="1"/>
      <w:numFmt w:val="lowerLetter"/>
      <w:lvlText w:val=" %2"/>
      <w:lvlJc w:val="left"/>
    </w:lvl>
    <w:lvl w:ilvl="2">
      <w:start w:val="1"/>
      <w:numFmt w:val="lowerLetter"/>
      <w:lvlText w:val=" %3"/>
      <w:lvlJc w:val="left"/>
    </w:lvl>
    <w:lvl w:ilvl="3">
      <w:start w:val="4"/>
      <w:numFmt w:val="decimal"/>
      <w:lvlText w:val=" %4."/>
      <w:lvlJc w:val="left"/>
    </w:lvl>
    <w:lvl w:ilvl="4">
      <w:start w:val="5"/>
      <w:numFmt w:val="decimal"/>
      <w:lvlText w:val=" %5."/>
      <w:lvlJc w:val="left"/>
    </w:lvl>
    <w:lvl w:ilvl="5">
      <w:start w:val="6"/>
      <w:numFmt w:val="decimal"/>
      <w:lvlText w:val=" %6."/>
      <w:lvlJc w:val="left"/>
    </w:lvl>
    <w:lvl w:ilvl="6">
      <w:start w:val="7"/>
      <w:numFmt w:val="decimal"/>
      <w:lvlText w:val=" %7."/>
      <w:lvlJc w:val="left"/>
    </w:lvl>
    <w:lvl w:ilvl="7">
      <w:start w:val="8"/>
      <w:numFmt w:val="decimal"/>
      <w:lvlText w:val=" %8."/>
      <w:lvlJc w:val="left"/>
    </w:lvl>
    <w:lvl w:ilvl="8">
      <w:start w:val="9"/>
      <w:numFmt w:val="decimal"/>
      <w:lvlText w:val=" %9."/>
      <w:lvlJc w:val="left"/>
    </w:lvl>
  </w:abstractNum>
  <w:abstractNum w:abstractNumId="16" w15:restartNumberingAfterBreak="0">
    <w:nsid w:val="5C602A45"/>
    <w:multiLevelType w:val="hybridMultilevel"/>
    <w:tmpl w:val="BBE029F0"/>
    <w:lvl w:ilvl="0" w:tplc="DA4C0FBE">
      <w:start w:val="1"/>
      <w:numFmt w:val="lowerLetter"/>
      <w:lvlText w:val="%1)"/>
      <w:lvlJc w:val="left"/>
      <w:pPr>
        <w:ind w:left="644" w:hanging="360"/>
      </w:pPr>
    </w:lvl>
    <w:lvl w:ilvl="1" w:tplc="6742D8C0" w:tentative="1">
      <w:start w:val="1"/>
      <w:numFmt w:val="lowerLetter"/>
      <w:lvlText w:val="%2."/>
      <w:lvlJc w:val="left"/>
      <w:pPr>
        <w:ind w:left="1440" w:hanging="360"/>
      </w:pPr>
    </w:lvl>
    <w:lvl w:ilvl="2" w:tplc="B8BEC2D2" w:tentative="1">
      <w:start w:val="1"/>
      <w:numFmt w:val="lowerRoman"/>
      <w:lvlText w:val="%3."/>
      <w:lvlJc w:val="right"/>
      <w:pPr>
        <w:ind w:left="2160" w:hanging="180"/>
      </w:pPr>
    </w:lvl>
    <w:lvl w:ilvl="3" w:tplc="AA4EFD98" w:tentative="1">
      <w:start w:val="1"/>
      <w:numFmt w:val="decimal"/>
      <w:lvlText w:val="%4."/>
      <w:lvlJc w:val="left"/>
      <w:pPr>
        <w:ind w:left="2880" w:hanging="360"/>
      </w:pPr>
    </w:lvl>
    <w:lvl w:ilvl="4" w:tplc="591631C8" w:tentative="1">
      <w:start w:val="1"/>
      <w:numFmt w:val="lowerLetter"/>
      <w:lvlText w:val="%5."/>
      <w:lvlJc w:val="left"/>
      <w:pPr>
        <w:ind w:left="3600" w:hanging="360"/>
      </w:pPr>
    </w:lvl>
    <w:lvl w:ilvl="5" w:tplc="3B36FC86" w:tentative="1">
      <w:start w:val="1"/>
      <w:numFmt w:val="lowerRoman"/>
      <w:lvlText w:val="%6."/>
      <w:lvlJc w:val="right"/>
      <w:pPr>
        <w:ind w:left="4320" w:hanging="180"/>
      </w:pPr>
    </w:lvl>
    <w:lvl w:ilvl="6" w:tplc="3818713A" w:tentative="1">
      <w:start w:val="1"/>
      <w:numFmt w:val="decimal"/>
      <w:lvlText w:val="%7."/>
      <w:lvlJc w:val="left"/>
      <w:pPr>
        <w:ind w:left="5040" w:hanging="360"/>
      </w:pPr>
    </w:lvl>
    <w:lvl w:ilvl="7" w:tplc="5928AD0E" w:tentative="1">
      <w:start w:val="1"/>
      <w:numFmt w:val="lowerLetter"/>
      <w:lvlText w:val="%8."/>
      <w:lvlJc w:val="left"/>
      <w:pPr>
        <w:ind w:left="5760" w:hanging="360"/>
      </w:pPr>
    </w:lvl>
    <w:lvl w:ilvl="8" w:tplc="5FD8604C" w:tentative="1">
      <w:start w:val="1"/>
      <w:numFmt w:val="lowerRoman"/>
      <w:lvlText w:val="%9."/>
      <w:lvlJc w:val="right"/>
      <w:pPr>
        <w:ind w:left="6480" w:hanging="180"/>
      </w:pPr>
    </w:lvl>
  </w:abstractNum>
  <w:abstractNum w:abstractNumId="17" w15:restartNumberingAfterBreak="0">
    <w:nsid w:val="699E1358"/>
    <w:multiLevelType w:val="hybridMultilevel"/>
    <w:tmpl w:val="8B444D00"/>
    <w:lvl w:ilvl="0" w:tplc="97AC43DE">
      <w:start w:val="1"/>
      <w:numFmt w:val="bullet"/>
      <w:lvlText w:val=""/>
      <w:lvlJc w:val="left"/>
      <w:pPr>
        <w:ind w:left="720" w:hanging="360"/>
      </w:pPr>
      <w:rPr>
        <w:rFonts w:ascii="Wingdings" w:hAnsi="Wingdings" w:hint="default"/>
      </w:rPr>
    </w:lvl>
    <w:lvl w:ilvl="1" w:tplc="02CA5920" w:tentative="1">
      <w:start w:val="1"/>
      <w:numFmt w:val="bullet"/>
      <w:lvlText w:val="o"/>
      <w:lvlJc w:val="left"/>
      <w:pPr>
        <w:ind w:left="1440" w:hanging="360"/>
      </w:pPr>
      <w:rPr>
        <w:rFonts w:ascii="Courier New" w:hAnsi="Courier New" w:cs="Courier New" w:hint="default"/>
      </w:rPr>
    </w:lvl>
    <w:lvl w:ilvl="2" w:tplc="85CAF7B4" w:tentative="1">
      <w:start w:val="1"/>
      <w:numFmt w:val="bullet"/>
      <w:lvlText w:val=""/>
      <w:lvlJc w:val="left"/>
      <w:pPr>
        <w:ind w:left="2160" w:hanging="360"/>
      </w:pPr>
      <w:rPr>
        <w:rFonts w:ascii="Wingdings" w:hAnsi="Wingdings" w:hint="default"/>
      </w:rPr>
    </w:lvl>
    <w:lvl w:ilvl="3" w:tplc="7D605B5C" w:tentative="1">
      <w:start w:val="1"/>
      <w:numFmt w:val="bullet"/>
      <w:lvlText w:val=""/>
      <w:lvlJc w:val="left"/>
      <w:pPr>
        <w:ind w:left="2880" w:hanging="360"/>
      </w:pPr>
      <w:rPr>
        <w:rFonts w:ascii="Symbol" w:hAnsi="Symbol" w:hint="default"/>
      </w:rPr>
    </w:lvl>
    <w:lvl w:ilvl="4" w:tplc="5E3EDCDE" w:tentative="1">
      <w:start w:val="1"/>
      <w:numFmt w:val="bullet"/>
      <w:lvlText w:val="o"/>
      <w:lvlJc w:val="left"/>
      <w:pPr>
        <w:ind w:left="3600" w:hanging="360"/>
      </w:pPr>
      <w:rPr>
        <w:rFonts w:ascii="Courier New" w:hAnsi="Courier New" w:cs="Courier New" w:hint="default"/>
      </w:rPr>
    </w:lvl>
    <w:lvl w:ilvl="5" w:tplc="B080AA62" w:tentative="1">
      <w:start w:val="1"/>
      <w:numFmt w:val="bullet"/>
      <w:lvlText w:val=""/>
      <w:lvlJc w:val="left"/>
      <w:pPr>
        <w:ind w:left="4320" w:hanging="360"/>
      </w:pPr>
      <w:rPr>
        <w:rFonts w:ascii="Wingdings" w:hAnsi="Wingdings" w:hint="default"/>
      </w:rPr>
    </w:lvl>
    <w:lvl w:ilvl="6" w:tplc="273A50BC" w:tentative="1">
      <w:start w:val="1"/>
      <w:numFmt w:val="bullet"/>
      <w:lvlText w:val=""/>
      <w:lvlJc w:val="left"/>
      <w:pPr>
        <w:ind w:left="5040" w:hanging="360"/>
      </w:pPr>
      <w:rPr>
        <w:rFonts w:ascii="Symbol" w:hAnsi="Symbol" w:hint="default"/>
      </w:rPr>
    </w:lvl>
    <w:lvl w:ilvl="7" w:tplc="B81E01EA" w:tentative="1">
      <w:start w:val="1"/>
      <w:numFmt w:val="bullet"/>
      <w:lvlText w:val="o"/>
      <w:lvlJc w:val="left"/>
      <w:pPr>
        <w:ind w:left="5760" w:hanging="360"/>
      </w:pPr>
      <w:rPr>
        <w:rFonts w:ascii="Courier New" w:hAnsi="Courier New" w:cs="Courier New" w:hint="default"/>
      </w:rPr>
    </w:lvl>
    <w:lvl w:ilvl="8" w:tplc="A9E8A938" w:tentative="1">
      <w:start w:val="1"/>
      <w:numFmt w:val="bullet"/>
      <w:lvlText w:val=""/>
      <w:lvlJc w:val="left"/>
      <w:pPr>
        <w:ind w:left="6480" w:hanging="360"/>
      </w:pPr>
      <w:rPr>
        <w:rFonts w:ascii="Wingdings" w:hAnsi="Wingdings" w:hint="default"/>
      </w:rPr>
    </w:lvl>
  </w:abstractNum>
  <w:abstractNum w:abstractNumId="18" w15:restartNumberingAfterBreak="0">
    <w:nsid w:val="77F55429"/>
    <w:multiLevelType w:val="hybridMultilevel"/>
    <w:tmpl w:val="FA320C72"/>
    <w:lvl w:ilvl="0" w:tplc="39E20746">
      <w:start w:val="1"/>
      <w:numFmt w:val="decimal"/>
      <w:lvlText w:val="%1)"/>
      <w:lvlJc w:val="left"/>
      <w:pPr>
        <w:ind w:left="720" w:hanging="360"/>
      </w:pPr>
    </w:lvl>
    <w:lvl w:ilvl="1" w:tplc="83A4CC1A" w:tentative="1">
      <w:start w:val="1"/>
      <w:numFmt w:val="lowerLetter"/>
      <w:lvlText w:val="%2."/>
      <w:lvlJc w:val="left"/>
      <w:pPr>
        <w:ind w:left="1440" w:hanging="360"/>
      </w:pPr>
    </w:lvl>
    <w:lvl w:ilvl="2" w:tplc="ADD0B89C" w:tentative="1">
      <w:start w:val="1"/>
      <w:numFmt w:val="lowerRoman"/>
      <w:lvlText w:val="%3."/>
      <w:lvlJc w:val="right"/>
      <w:pPr>
        <w:ind w:left="2160" w:hanging="180"/>
      </w:pPr>
    </w:lvl>
    <w:lvl w:ilvl="3" w:tplc="B4C69DB0" w:tentative="1">
      <w:start w:val="1"/>
      <w:numFmt w:val="decimal"/>
      <w:lvlText w:val="%4."/>
      <w:lvlJc w:val="left"/>
      <w:pPr>
        <w:ind w:left="2880" w:hanging="360"/>
      </w:pPr>
    </w:lvl>
    <w:lvl w:ilvl="4" w:tplc="D67E3B5C" w:tentative="1">
      <w:start w:val="1"/>
      <w:numFmt w:val="lowerLetter"/>
      <w:lvlText w:val="%5."/>
      <w:lvlJc w:val="left"/>
      <w:pPr>
        <w:ind w:left="3600" w:hanging="360"/>
      </w:pPr>
    </w:lvl>
    <w:lvl w:ilvl="5" w:tplc="B88ED3BE" w:tentative="1">
      <w:start w:val="1"/>
      <w:numFmt w:val="lowerRoman"/>
      <w:lvlText w:val="%6."/>
      <w:lvlJc w:val="right"/>
      <w:pPr>
        <w:ind w:left="4320" w:hanging="180"/>
      </w:pPr>
    </w:lvl>
    <w:lvl w:ilvl="6" w:tplc="DC0691B2" w:tentative="1">
      <w:start w:val="1"/>
      <w:numFmt w:val="decimal"/>
      <w:lvlText w:val="%7."/>
      <w:lvlJc w:val="left"/>
      <w:pPr>
        <w:ind w:left="5040" w:hanging="360"/>
      </w:pPr>
    </w:lvl>
    <w:lvl w:ilvl="7" w:tplc="D7B6FDD6" w:tentative="1">
      <w:start w:val="1"/>
      <w:numFmt w:val="lowerLetter"/>
      <w:lvlText w:val="%8."/>
      <w:lvlJc w:val="left"/>
      <w:pPr>
        <w:ind w:left="5760" w:hanging="360"/>
      </w:pPr>
    </w:lvl>
    <w:lvl w:ilvl="8" w:tplc="AC9ED2FE" w:tentative="1">
      <w:start w:val="1"/>
      <w:numFmt w:val="lowerRoman"/>
      <w:lvlText w:val="%9."/>
      <w:lvlJc w:val="right"/>
      <w:pPr>
        <w:ind w:left="6480" w:hanging="180"/>
      </w:pPr>
    </w:lvl>
  </w:abstractNum>
  <w:abstractNum w:abstractNumId="19" w15:restartNumberingAfterBreak="0">
    <w:nsid w:val="7C0D4FED"/>
    <w:multiLevelType w:val="hybridMultilevel"/>
    <w:tmpl w:val="BA24B18C"/>
    <w:lvl w:ilvl="0" w:tplc="9F16B14C">
      <w:start w:val="1"/>
      <w:numFmt w:val="lowerLetter"/>
      <w:lvlText w:val="%1)"/>
      <w:lvlJc w:val="left"/>
      <w:pPr>
        <w:ind w:left="1440" w:hanging="360"/>
      </w:pPr>
      <w:rPr>
        <w:rFonts w:hint="default"/>
      </w:rPr>
    </w:lvl>
    <w:lvl w:ilvl="1" w:tplc="393C0378">
      <w:start w:val="1"/>
      <w:numFmt w:val="lowerLetter"/>
      <w:lvlText w:val="%2."/>
      <w:lvlJc w:val="left"/>
      <w:pPr>
        <w:ind w:left="2160" w:hanging="360"/>
      </w:pPr>
    </w:lvl>
    <w:lvl w:ilvl="2" w:tplc="4E92A656" w:tentative="1">
      <w:start w:val="1"/>
      <w:numFmt w:val="lowerRoman"/>
      <w:lvlText w:val="%3."/>
      <w:lvlJc w:val="right"/>
      <w:pPr>
        <w:ind w:left="2880" w:hanging="180"/>
      </w:pPr>
    </w:lvl>
    <w:lvl w:ilvl="3" w:tplc="AAAC226C" w:tentative="1">
      <w:start w:val="1"/>
      <w:numFmt w:val="decimal"/>
      <w:lvlText w:val="%4."/>
      <w:lvlJc w:val="left"/>
      <w:pPr>
        <w:ind w:left="3600" w:hanging="360"/>
      </w:pPr>
    </w:lvl>
    <w:lvl w:ilvl="4" w:tplc="EE76AC2C" w:tentative="1">
      <w:start w:val="1"/>
      <w:numFmt w:val="lowerLetter"/>
      <w:lvlText w:val="%5."/>
      <w:lvlJc w:val="left"/>
      <w:pPr>
        <w:ind w:left="4320" w:hanging="360"/>
      </w:pPr>
    </w:lvl>
    <w:lvl w:ilvl="5" w:tplc="A6B4E004" w:tentative="1">
      <w:start w:val="1"/>
      <w:numFmt w:val="lowerRoman"/>
      <w:lvlText w:val="%6."/>
      <w:lvlJc w:val="right"/>
      <w:pPr>
        <w:ind w:left="5040" w:hanging="180"/>
      </w:pPr>
    </w:lvl>
    <w:lvl w:ilvl="6" w:tplc="7A1E6978" w:tentative="1">
      <w:start w:val="1"/>
      <w:numFmt w:val="decimal"/>
      <w:lvlText w:val="%7."/>
      <w:lvlJc w:val="left"/>
      <w:pPr>
        <w:ind w:left="5760" w:hanging="360"/>
      </w:pPr>
    </w:lvl>
    <w:lvl w:ilvl="7" w:tplc="7CF410AC" w:tentative="1">
      <w:start w:val="1"/>
      <w:numFmt w:val="lowerLetter"/>
      <w:lvlText w:val="%8."/>
      <w:lvlJc w:val="left"/>
      <w:pPr>
        <w:ind w:left="6480" w:hanging="360"/>
      </w:pPr>
    </w:lvl>
    <w:lvl w:ilvl="8" w:tplc="D7C0952E" w:tentative="1">
      <w:start w:val="1"/>
      <w:numFmt w:val="lowerRoman"/>
      <w:lvlText w:val="%9."/>
      <w:lvlJc w:val="right"/>
      <w:pPr>
        <w:ind w:left="7200" w:hanging="180"/>
      </w:pPr>
    </w:lvl>
  </w:abstractNum>
  <w:abstractNum w:abstractNumId="20" w15:restartNumberingAfterBreak="0">
    <w:nsid w:val="7C175168"/>
    <w:multiLevelType w:val="hybridMultilevel"/>
    <w:tmpl w:val="7572F91E"/>
    <w:lvl w:ilvl="0" w:tplc="50A8C1CA">
      <w:start w:val="1"/>
      <w:numFmt w:val="decimal"/>
      <w:lvlText w:val="%1)"/>
      <w:lvlJc w:val="left"/>
      <w:pPr>
        <w:ind w:left="644" w:hanging="360"/>
      </w:pPr>
      <w:rPr>
        <w:rFonts w:hint="default"/>
        <w:b w:val="0"/>
      </w:rPr>
    </w:lvl>
    <w:lvl w:ilvl="1" w:tplc="DA14D5F0" w:tentative="1">
      <w:start w:val="1"/>
      <w:numFmt w:val="lowerLetter"/>
      <w:lvlText w:val="%2."/>
      <w:lvlJc w:val="left"/>
      <w:pPr>
        <w:ind w:left="1440" w:hanging="360"/>
      </w:pPr>
    </w:lvl>
    <w:lvl w:ilvl="2" w:tplc="FB20A5EC" w:tentative="1">
      <w:start w:val="1"/>
      <w:numFmt w:val="lowerRoman"/>
      <w:lvlText w:val="%3."/>
      <w:lvlJc w:val="right"/>
      <w:pPr>
        <w:ind w:left="2160" w:hanging="180"/>
      </w:pPr>
    </w:lvl>
    <w:lvl w:ilvl="3" w:tplc="02582A5A" w:tentative="1">
      <w:start w:val="1"/>
      <w:numFmt w:val="decimal"/>
      <w:lvlText w:val="%4."/>
      <w:lvlJc w:val="left"/>
      <w:pPr>
        <w:ind w:left="2880" w:hanging="360"/>
      </w:pPr>
    </w:lvl>
    <w:lvl w:ilvl="4" w:tplc="2F9E4394" w:tentative="1">
      <w:start w:val="1"/>
      <w:numFmt w:val="lowerLetter"/>
      <w:lvlText w:val="%5."/>
      <w:lvlJc w:val="left"/>
      <w:pPr>
        <w:ind w:left="3600" w:hanging="360"/>
      </w:pPr>
    </w:lvl>
    <w:lvl w:ilvl="5" w:tplc="137CBCA8" w:tentative="1">
      <w:start w:val="1"/>
      <w:numFmt w:val="lowerRoman"/>
      <w:lvlText w:val="%6."/>
      <w:lvlJc w:val="right"/>
      <w:pPr>
        <w:ind w:left="4320" w:hanging="180"/>
      </w:pPr>
    </w:lvl>
    <w:lvl w:ilvl="6" w:tplc="20363DB8" w:tentative="1">
      <w:start w:val="1"/>
      <w:numFmt w:val="decimal"/>
      <w:lvlText w:val="%7."/>
      <w:lvlJc w:val="left"/>
      <w:pPr>
        <w:ind w:left="5040" w:hanging="360"/>
      </w:pPr>
    </w:lvl>
    <w:lvl w:ilvl="7" w:tplc="44001FCC" w:tentative="1">
      <w:start w:val="1"/>
      <w:numFmt w:val="lowerLetter"/>
      <w:lvlText w:val="%8."/>
      <w:lvlJc w:val="left"/>
      <w:pPr>
        <w:ind w:left="5760" w:hanging="360"/>
      </w:pPr>
    </w:lvl>
    <w:lvl w:ilvl="8" w:tplc="3392DC96" w:tentative="1">
      <w:start w:val="1"/>
      <w:numFmt w:val="lowerRoman"/>
      <w:lvlText w:val="%9."/>
      <w:lvlJc w:val="right"/>
      <w:pPr>
        <w:ind w:left="6480" w:hanging="180"/>
      </w:pPr>
    </w:lvl>
  </w:abstractNum>
  <w:num w:numId="1">
    <w:abstractNumId w:val="2"/>
  </w:num>
  <w:num w:numId="2">
    <w:abstractNumId w:val="10"/>
  </w:num>
  <w:num w:numId="3">
    <w:abstractNumId w:val="20"/>
  </w:num>
  <w:num w:numId="4">
    <w:abstractNumId w:val="19"/>
  </w:num>
  <w:num w:numId="5">
    <w:abstractNumId w:val="1"/>
  </w:num>
  <w:num w:numId="6">
    <w:abstractNumId w:val="0"/>
  </w:num>
  <w:num w:numId="7">
    <w:abstractNumId w:val="15"/>
  </w:num>
  <w:num w:numId="8">
    <w:abstractNumId w:val="13"/>
  </w:num>
  <w:num w:numId="9">
    <w:abstractNumId w:val="18"/>
  </w:num>
  <w:num w:numId="10">
    <w:abstractNumId w:val="11"/>
  </w:num>
  <w:num w:numId="11">
    <w:abstractNumId w:val="17"/>
  </w:num>
  <w:num w:numId="12">
    <w:abstractNumId w:val="6"/>
  </w:num>
  <w:num w:numId="13">
    <w:abstractNumId w:val="3"/>
  </w:num>
  <w:num w:numId="14">
    <w:abstractNumId w:val="16"/>
  </w:num>
  <w:num w:numId="15">
    <w:abstractNumId w:val="8"/>
  </w:num>
  <w:num w:numId="16">
    <w:abstractNumId w:val="4"/>
  </w:num>
  <w:num w:numId="17">
    <w:abstractNumId w:val="12"/>
  </w:num>
  <w:num w:numId="18">
    <w:abstractNumId w:val="5"/>
  </w:num>
  <w:num w:numId="19">
    <w:abstractNumId w:val="9"/>
  </w:num>
  <w:num w:numId="20">
    <w:abstractNumId w:val="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485"/>
    <w:rsid w:val="00002D16"/>
    <w:rsid w:val="00021279"/>
    <w:rsid w:val="000214BB"/>
    <w:rsid w:val="000259D3"/>
    <w:rsid w:val="00034D51"/>
    <w:rsid w:val="00043DEC"/>
    <w:rsid w:val="00044F06"/>
    <w:rsid w:val="00044FC0"/>
    <w:rsid w:val="00046F13"/>
    <w:rsid w:val="0005069C"/>
    <w:rsid w:val="000548DD"/>
    <w:rsid w:val="00060FEA"/>
    <w:rsid w:val="00075EF8"/>
    <w:rsid w:val="000814BC"/>
    <w:rsid w:val="00083589"/>
    <w:rsid w:val="00091E21"/>
    <w:rsid w:val="000A13CD"/>
    <w:rsid w:val="000A4FDA"/>
    <w:rsid w:val="000A7373"/>
    <w:rsid w:val="000C377E"/>
    <w:rsid w:val="000D30C0"/>
    <w:rsid w:val="000E1239"/>
    <w:rsid w:val="000E54A8"/>
    <w:rsid w:val="000F00F0"/>
    <w:rsid w:val="000F0E1C"/>
    <w:rsid w:val="000F3055"/>
    <w:rsid w:val="000F3667"/>
    <w:rsid w:val="000F38BB"/>
    <w:rsid w:val="001039A4"/>
    <w:rsid w:val="0010686D"/>
    <w:rsid w:val="00107408"/>
    <w:rsid w:val="00112151"/>
    <w:rsid w:val="0011389A"/>
    <w:rsid w:val="001242C2"/>
    <w:rsid w:val="00126A88"/>
    <w:rsid w:val="00131027"/>
    <w:rsid w:val="00134A58"/>
    <w:rsid w:val="00136E0C"/>
    <w:rsid w:val="00137165"/>
    <w:rsid w:val="00140BD1"/>
    <w:rsid w:val="00141705"/>
    <w:rsid w:val="00141D4C"/>
    <w:rsid w:val="00141E0B"/>
    <w:rsid w:val="00142239"/>
    <w:rsid w:val="00150F52"/>
    <w:rsid w:val="0015581A"/>
    <w:rsid w:val="001574FE"/>
    <w:rsid w:val="00160471"/>
    <w:rsid w:val="001634FB"/>
    <w:rsid w:val="00164443"/>
    <w:rsid w:val="001660B0"/>
    <w:rsid w:val="00171A1C"/>
    <w:rsid w:val="00171CED"/>
    <w:rsid w:val="00171D33"/>
    <w:rsid w:val="001753EE"/>
    <w:rsid w:val="001759FC"/>
    <w:rsid w:val="00175CF5"/>
    <w:rsid w:val="00176184"/>
    <w:rsid w:val="001802A2"/>
    <w:rsid w:val="00180653"/>
    <w:rsid w:val="0018318C"/>
    <w:rsid w:val="00184196"/>
    <w:rsid w:val="0019225C"/>
    <w:rsid w:val="00195457"/>
    <w:rsid w:val="001A0A9B"/>
    <w:rsid w:val="001A5246"/>
    <w:rsid w:val="001A58E3"/>
    <w:rsid w:val="001A5CB3"/>
    <w:rsid w:val="001B05D6"/>
    <w:rsid w:val="001B06EC"/>
    <w:rsid w:val="001B5B46"/>
    <w:rsid w:val="001B722D"/>
    <w:rsid w:val="001C280B"/>
    <w:rsid w:val="001D0227"/>
    <w:rsid w:val="001D0721"/>
    <w:rsid w:val="001D41F4"/>
    <w:rsid w:val="001D55C5"/>
    <w:rsid w:val="001D78A9"/>
    <w:rsid w:val="001E3C8E"/>
    <w:rsid w:val="001E558C"/>
    <w:rsid w:val="001E67A4"/>
    <w:rsid w:val="001E6B7F"/>
    <w:rsid w:val="001F58A2"/>
    <w:rsid w:val="001F5E08"/>
    <w:rsid w:val="001F6139"/>
    <w:rsid w:val="00201C0B"/>
    <w:rsid w:val="00203B6A"/>
    <w:rsid w:val="002103EA"/>
    <w:rsid w:val="002119B8"/>
    <w:rsid w:val="00212088"/>
    <w:rsid w:val="00216183"/>
    <w:rsid w:val="002164BB"/>
    <w:rsid w:val="00220499"/>
    <w:rsid w:val="00226893"/>
    <w:rsid w:val="0023533B"/>
    <w:rsid w:val="0023708B"/>
    <w:rsid w:val="00243A72"/>
    <w:rsid w:val="0026124F"/>
    <w:rsid w:val="00274176"/>
    <w:rsid w:val="002750CE"/>
    <w:rsid w:val="00277564"/>
    <w:rsid w:val="00290A5B"/>
    <w:rsid w:val="00291948"/>
    <w:rsid w:val="00293501"/>
    <w:rsid w:val="00294E60"/>
    <w:rsid w:val="002A3147"/>
    <w:rsid w:val="002A411F"/>
    <w:rsid w:val="002A4E2F"/>
    <w:rsid w:val="002A66AA"/>
    <w:rsid w:val="002B3ACB"/>
    <w:rsid w:val="002C1975"/>
    <w:rsid w:val="002C4455"/>
    <w:rsid w:val="002D4499"/>
    <w:rsid w:val="002E0C42"/>
    <w:rsid w:val="002E4330"/>
    <w:rsid w:val="002E4B14"/>
    <w:rsid w:val="002E6141"/>
    <w:rsid w:val="002E72BF"/>
    <w:rsid w:val="002E7B5F"/>
    <w:rsid w:val="002F25F4"/>
    <w:rsid w:val="002F4242"/>
    <w:rsid w:val="002F471F"/>
    <w:rsid w:val="002F5BED"/>
    <w:rsid w:val="002F743E"/>
    <w:rsid w:val="00311672"/>
    <w:rsid w:val="00317313"/>
    <w:rsid w:val="00323485"/>
    <w:rsid w:val="00325B21"/>
    <w:rsid w:val="00327312"/>
    <w:rsid w:val="00327E77"/>
    <w:rsid w:val="00331D1B"/>
    <w:rsid w:val="00334A25"/>
    <w:rsid w:val="003403D5"/>
    <w:rsid w:val="00343578"/>
    <w:rsid w:val="00345E86"/>
    <w:rsid w:val="00360EB6"/>
    <w:rsid w:val="00364CB5"/>
    <w:rsid w:val="00372351"/>
    <w:rsid w:val="003770F6"/>
    <w:rsid w:val="00384FDF"/>
    <w:rsid w:val="0038564C"/>
    <w:rsid w:val="00387645"/>
    <w:rsid w:val="003901D4"/>
    <w:rsid w:val="003933A4"/>
    <w:rsid w:val="003A29BC"/>
    <w:rsid w:val="003A3F73"/>
    <w:rsid w:val="003A731F"/>
    <w:rsid w:val="003B272F"/>
    <w:rsid w:val="003B5659"/>
    <w:rsid w:val="003B62CD"/>
    <w:rsid w:val="003C316D"/>
    <w:rsid w:val="003C4E87"/>
    <w:rsid w:val="003C7D8F"/>
    <w:rsid w:val="003D3032"/>
    <w:rsid w:val="003D6A3E"/>
    <w:rsid w:val="003E6324"/>
    <w:rsid w:val="003E709E"/>
    <w:rsid w:val="003F144D"/>
    <w:rsid w:val="003F3214"/>
    <w:rsid w:val="003F7598"/>
    <w:rsid w:val="00404F4C"/>
    <w:rsid w:val="00410A6F"/>
    <w:rsid w:val="00410AB5"/>
    <w:rsid w:val="004154A2"/>
    <w:rsid w:val="00441B52"/>
    <w:rsid w:val="00443E8E"/>
    <w:rsid w:val="004521E5"/>
    <w:rsid w:val="00453E84"/>
    <w:rsid w:val="00456E0A"/>
    <w:rsid w:val="00457EB8"/>
    <w:rsid w:val="004630F7"/>
    <w:rsid w:val="004656DD"/>
    <w:rsid w:val="004700D1"/>
    <w:rsid w:val="00477686"/>
    <w:rsid w:val="004811DB"/>
    <w:rsid w:val="004817A0"/>
    <w:rsid w:val="00481A1E"/>
    <w:rsid w:val="0048730E"/>
    <w:rsid w:val="004923B6"/>
    <w:rsid w:val="00496A1E"/>
    <w:rsid w:val="00497834"/>
    <w:rsid w:val="004A1085"/>
    <w:rsid w:val="004A3DA7"/>
    <w:rsid w:val="004A482E"/>
    <w:rsid w:val="004A4BBF"/>
    <w:rsid w:val="004A79A9"/>
    <w:rsid w:val="004B0641"/>
    <w:rsid w:val="004C0E20"/>
    <w:rsid w:val="004D0068"/>
    <w:rsid w:val="004D3A4F"/>
    <w:rsid w:val="004E7807"/>
    <w:rsid w:val="004F0BE3"/>
    <w:rsid w:val="00500CBE"/>
    <w:rsid w:val="005033A5"/>
    <w:rsid w:val="005051F5"/>
    <w:rsid w:val="0050579B"/>
    <w:rsid w:val="0051091A"/>
    <w:rsid w:val="005230EA"/>
    <w:rsid w:val="00527189"/>
    <w:rsid w:val="0053028A"/>
    <w:rsid w:val="005302C4"/>
    <w:rsid w:val="00530BDD"/>
    <w:rsid w:val="0053315F"/>
    <w:rsid w:val="005358B5"/>
    <w:rsid w:val="00546D81"/>
    <w:rsid w:val="00547729"/>
    <w:rsid w:val="005534A0"/>
    <w:rsid w:val="00557AE4"/>
    <w:rsid w:val="00560EB1"/>
    <w:rsid w:val="00563833"/>
    <w:rsid w:val="00572615"/>
    <w:rsid w:val="005726B0"/>
    <w:rsid w:val="00574465"/>
    <w:rsid w:val="00574C42"/>
    <w:rsid w:val="00580610"/>
    <w:rsid w:val="005875CD"/>
    <w:rsid w:val="00597FBA"/>
    <w:rsid w:val="005A3BDD"/>
    <w:rsid w:val="005A5679"/>
    <w:rsid w:val="005A7786"/>
    <w:rsid w:val="005B105E"/>
    <w:rsid w:val="005C212F"/>
    <w:rsid w:val="005D43AE"/>
    <w:rsid w:val="005E1FA0"/>
    <w:rsid w:val="005E715E"/>
    <w:rsid w:val="00604D03"/>
    <w:rsid w:val="006056FC"/>
    <w:rsid w:val="00607621"/>
    <w:rsid w:val="00610052"/>
    <w:rsid w:val="00613D56"/>
    <w:rsid w:val="006231F3"/>
    <w:rsid w:val="006257C0"/>
    <w:rsid w:val="00627F70"/>
    <w:rsid w:val="00631EBC"/>
    <w:rsid w:val="00635B16"/>
    <w:rsid w:val="006442E6"/>
    <w:rsid w:val="0065217E"/>
    <w:rsid w:val="00654323"/>
    <w:rsid w:val="0065632C"/>
    <w:rsid w:val="0067179A"/>
    <w:rsid w:val="00681E7D"/>
    <w:rsid w:val="0068405F"/>
    <w:rsid w:val="00685C30"/>
    <w:rsid w:val="0069072E"/>
    <w:rsid w:val="006910B4"/>
    <w:rsid w:val="00692A25"/>
    <w:rsid w:val="0069377F"/>
    <w:rsid w:val="006955B3"/>
    <w:rsid w:val="0069762C"/>
    <w:rsid w:val="006A629A"/>
    <w:rsid w:val="006A65D0"/>
    <w:rsid w:val="006A7144"/>
    <w:rsid w:val="006B3C97"/>
    <w:rsid w:val="006C1331"/>
    <w:rsid w:val="006C731B"/>
    <w:rsid w:val="006D797D"/>
    <w:rsid w:val="006E689D"/>
    <w:rsid w:val="006E70AF"/>
    <w:rsid w:val="006F3FCD"/>
    <w:rsid w:val="006F71A6"/>
    <w:rsid w:val="006F7875"/>
    <w:rsid w:val="00702C87"/>
    <w:rsid w:val="00704225"/>
    <w:rsid w:val="00706E23"/>
    <w:rsid w:val="0071074C"/>
    <w:rsid w:val="0071116E"/>
    <w:rsid w:val="00711E67"/>
    <w:rsid w:val="00712C9F"/>
    <w:rsid w:val="007132EC"/>
    <w:rsid w:val="0071331F"/>
    <w:rsid w:val="00730952"/>
    <w:rsid w:val="00733C32"/>
    <w:rsid w:val="00734E44"/>
    <w:rsid w:val="0073522D"/>
    <w:rsid w:val="007428D8"/>
    <w:rsid w:val="007442B5"/>
    <w:rsid w:val="00745A0A"/>
    <w:rsid w:val="00751B78"/>
    <w:rsid w:val="0075293D"/>
    <w:rsid w:val="0075577C"/>
    <w:rsid w:val="007575D7"/>
    <w:rsid w:val="00764245"/>
    <w:rsid w:val="00765187"/>
    <w:rsid w:val="007654ED"/>
    <w:rsid w:val="00767470"/>
    <w:rsid w:val="007705B4"/>
    <w:rsid w:val="007720D3"/>
    <w:rsid w:val="00774E34"/>
    <w:rsid w:val="00780EDF"/>
    <w:rsid w:val="00781D6C"/>
    <w:rsid w:val="007827A2"/>
    <w:rsid w:val="00784389"/>
    <w:rsid w:val="00785628"/>
    <w:rsid w:val="00796734"/>
    <w:rsid w:val="00796ECB"/>
    <w:rsid w:val="007A081D"/>
    <w:rsid w:val="007A0E6B"/>
    <w:rsid w:val="007A641F"/>
    <w:rsid w:val="007B6E4C"/>
    <w:rsid w:val="007B7DC4"/>
    <w:rsid w:val="007C09C8"/>
    <w:rsid w:val="007C1077"/>
    <w:rsid w:val="007D250B"/>
    <w:rsid w:val="007D68E7"/>
    <w:rsid w:val="007E08A2"/>
    <w:rsid w:val="007E35A4"/>
    <w:rsid w:val="007E3AEB"/>
    <w:rsid w:val="007E5F6B"/>
    <w:rsid w:val="007E6617"/>
    <w:rsid w:val="007F0C77"/>
    <w:rsid w:val="007F51EC"/>
    <w:rsid w:val="0080001D"/>
    <w:rsid w:val="00803854"/>
    <w:rsid w:val="008041D6"/>
    <w:rsid w:val="00810FB7"/>
    <w:rsid w:val="00820A8E"/>
    <w:rsid w:val="00820DB7"/>
    <w:rsid w:val="008227F2"/>
    <w:rsid w:val="00827E82"/>
    <w:rsid w:val="00831F53"/>
    <w:rsid w:val="00831F5A"/>
    <w:rsid w:val="0083774A"/>
    <w:rsid w:val="00843AAC"/>
    <w:rsid w:val="00844EEF"/>
    <w:rsid w:val="00847709"/>
    <w:rsid w:val="008477BC"/>
    <w:rsid w:val="00852E35"/>
    <w:rsid w:val="0085513B"/>
    <w:rsid w:val="00856576"/>
    <w:rsid w:val="008568A3"/>
    <w:rsid w:val="00856B60"/>
    <w:rsid w:val="00860D94"/>
    <w:rsid w:val="00861D00"/>
    <w:rsid w:val="00863DCB"/>
    <w:rsid w:val="00870F3F"/>
    <w:rsid w:val="008839B7"/>
    <w:rsid w:val="008842A0"/>
    <w:rsid w:val="0088460A"/>
    <w:rsid w:val="0088524C"/>
    <w:rsid w:val="008864F1"/>
    <w:rsid w:val="008A1367"/>
    <w:rsid w:val="008A2DD7"/>
    <w:rsid w:val="008A4D97"/>
    <w:rsid w:val="008A4F83"/>
    <w:rsid w:val="008A71DB"/>
    <w:rsid w:val="008B0D51"/>
    <w:rsid w:val="008B2D2B"/>
    <w:rsid w:val="008B4E45"/>
    <w:rsid w:val="008B52C9"/>
    <w:rsid w:val="008B555B"/>
    <w:rsid w:val="008C1E35"/>
    <w:rsid w:val="008C2150"/>
    <w:rsid w:val="008C2332"/>
    <w:rsid w:val="008C66AC"/>
    <w:rsid w:val="008D7FDD"/>
    <w:rsid w:val="008E00F2"/>
    <w:rsid w:val="008E01D4"/>
    <w:rsid w:val="008F3CEA"/>
    <w:rsid w:val="00901C33"/>
    <w:rsid w:val="00905C17"/>
    <w:rsid w:val="00906F24"/>
    <w:rsid w:val="0091393F"/>
    <w:rsid w:val="009172F4"/>
    <w:rsid w:val="00922E5C"/>
    <w:rsid w:val="0092367E"/>
    <w:rsid w:val="00924A2E"/>
    <w:rsid w:val="00924CF4"/>
    <w:rsid w:val="00930B5D"/>
    <w:rsid w:val="00932512"/>
    <w:rsid w:val="00935FE1"/>
    <w:rsid w:val="00936869"/>
    <w:rsid w:val="0094328B"/>
    <w:rsid w:val="00943511"/>
    <w:rsid w:val="009450A7"/>
    <w:rsid w:val="009544C8"/>
    <w:rsid w:val="009604CE"/>
    <w:rsid w:val="00961CB0"/>
    <w:rsid w:val="00961FBF"/>
    <w:rsid w:val="00962E86"/>
    <w:rsid w:val="00964517"/>
    <w:rsid w:val="00964F62"/>
    <w:rsid w:val="0096710C"/>
    <w:rsid w:val="009673A8"/>
    <w:rsid w:val="0096799C"/>
    <w:rsid w:val="009715FD"/>
    <w:rsid w:val="00972A6D"/>
    <w:rsid w:val="00981A40"/>
    <w:rsid w:val="00990DA1"/>
    <w:rsid w:val="00991035"/>
    <w:rsid w:val="00993787"/>
    <w:rsid w:val="009A0A27"/>
    <w:rsid w:val="009A2F0E"/>
    <w:rsid w:val="009B3664"/>
    <w:rsid w:val="009B4EB4"/>
    <w:rsid w:val="009B5107"/>
    <w:rsid w:val="009B7710"/>
    <w:rsid w:val="009C1C70"/>
    <w:rsid w:val="009C2581"/>
    <w:rsid w:val="009C269F"/>
    <w:rsid w:val="009D076D"/>
    <w:rsid w:val="009D25AD"/>
    <w:rsid w:val="009D4BA8"/>
    <w:rsid w:val="009D5AE7"/>
    <w:rsid w:val="009D62F9"/>
    <w:rsid w:val="009E0870"/>
    <w:rsid w:val="009E25C1"/>
    <w:rsid w:val="009E4CC7"/>
    <w:rsid w:val="009E6208"/>
    <w:rsid w:val="009F0316"/>
    <w:rsid w:val="009F0BA4"/>
    <w:rsid w:val="009F2B1F"/>
    <w:rsid w:val="00A11EB5"/>
    <w:rsid w:val="00A2178D"/>
    <w:rsid w:val="00A22ACC"/>
    <w:rsid w:val="00A25168"/>
    <w:rsid w:val="00A25F5A"/>
    <w:rsid w:val="00A26E70"/>
    <w:rsid w:val="00A2710B"/>
    <w:rsid w:val="00A2734C"/>
    <w:rsid w:val="00A32C04"/>
    <w:rsid w:val="00A4194E"/>
    <w:rsid w:val="00A42197"/>
    <w:rsid w:val="00A44D73"/>
    <w:rsid w:val="00A46AF5"/>
    <w:rsid w:val="00A46B2C"/>
    <w:rsid w:val="00A501D6"/>
    <w:rsid w:val="00A51B87"/>
    <w:rsid w:val="00A51B9D"/>
    <w:rsid w:val="00A542A9"/>
    <w:rsid w:val="00A8346C"/>
    <w:rsid w:val="00A855D4"/>
    <w:rsid w:val="00A87BD2"/>
    <w:rsid w:val="00A91A4E"/>
    <w:rsid w:val="00A972AE"/>
    <w:rsid w:val="00AA1070"/>
    <w:rsid w:val="00AA5FB7"/>
    <w:rsid w:val="00AB126D"/>
    <w:rsid w:val="00AB1E91"/>
    <w:rsid w:val="00AB30A7"/>
    <w:rsid w:val="00AB436F"/>
    <w:rsid w:val="00AB463E"/>
    <w:rsid w:val="00AC1098"/>
    <w:rsid w:val="00AC3E3C"/>
    <w:rsid w:val="00AC408D"/>
    <w:rsid w:val="00AC62A0"/>
    <w:rsid w:val="00AD0462"/>
    <w:rsid w:val="00AD3CF2"/>
    <w:rsid w:val="00AD5F80"/>
    <w:rsid w:val="00AE095F"/>
    <w:rsid w:val="00AE2E39"/>
    <w:rsid w:val="00AE4709"/>
    <w:rsid w:val="00AF075B"/>
    <w:rsid w:val="00AF20A8"/>
    <w:rsid w:val="00AF2AC6"/>
    <w:rsid w:val="00AF2C35"/>
    <w:rsid w:val="00B018F7"/>
    <w:rsid w:val="00B0328A"/>
    <w:rsid w:val="00B045C5"/>
    <w:rsid w:val="00B04613"/>
    <w:rsid w:val="00B05E9F"/>
    <w:rsid w:val="00B14247"/>
    <w:rsid w:val="00B17F0B"/>
    <w:rsid w:val="00B22441"/>
    <w:rsid w:val="00B44266"/>
    <w:rsid w:val="00B50731"/>
    <w:rsid w:val="00B535EB"/>
    <w:rsid w:val="00B53F4F"/>
    <w:rsid w:val="00B6182A"/>
    <w:rsid w:val="00B6196C"/>
    <w:rsid w:val="00B63884"/>
    <w:rsid w:val="00B63ACD"/>
    <w:rsid w:val="00B71599"/>
    <w:rsid w:val="00B73448"/>
    <w:rsid w:val="00B762F9"/>
    <w:rsid w:val="00B76BA8"/>
    <w:rsid w:val="00B7730B"/>
    <w:rsid w:val="00B84C66"/>
    <w:rsid w:val="00B87CE8"/>
    <w:rsid w:val="00B97368"/>
    <w:rsid w:val="00BA15CA"/>
    <w:rsid w:val="00BA2226"/>
    <w:rsid w:val="00BA30D3"/>
    <w:rsid w:val="00BB0F19"/>
    <w:rsid w:val="00BB565F"/>
    <w:rsid w:val="00BB6A82"/>
    <w:rsid w:val="00BC7795"/>
    <w:rsid w:val="00BE4F5C"/>
    <w:rsid w:val="00BE57FD"/>
    <w:rsid w:val="00BF3660"/>
    <w:rsid w:val="00BF44F6"/>
    <w:rsid w:val="00C02015"/>
    <w:rsid w:val="00C023A1"/>
    <w:rsid w:val="00C214A6"/>
    <w:rsid w:val="00C21AA5"/>
    <w:rsid w:val="00C22670"/>
    <w:rsid w:val="00C22AF0"/>
    <w:rsid w:val="00C22D51"/>
    <w:rsid w:val="00C24489"/>
    <w:rsid w:val="00C30733"/>
    <w:rsid w:val="00C30843"/>
    <w:rsid w:val="00C31910"/>
    <w:rsid w:val="00C321CD"/>
    <w:rsid w:val="00C41041"/>
    <w:rsid w:val="00C4624F"/>
    <w:rsid w:val="00C537F1"/>
    <w:rsid w:val="00C63B9B"/>
    <w:rsid w:val="00C6679A"/>
    <w:rsid w:val="00C810E3"/>
    <w:rsid w:val="00C93C6F"/>
    <w:rsid w:val="00C94196"/>
    <w:rsid w:val="00C947AE"/>
    <w:rsid w:val="00C97A53"/>
    <w:rsid w:val="00CA71D8"/>
    <w:rsid w:val="00CB4699"/>
    <w:rsid w:val="00CB769A"/>
    <w:rsid w:val="00CC0967"/>
    <w:rsid w:val="00CC1224"/>
    <w:rsid w:val="00CC1CE6"/>
    <w:rsid w:val="00CC1E73"/>
    <w:rsid w:val="00CC4FDD"/>
    <w:rsid w:val="00CD2D6C"/>
    <w:rsid w:val="00CD4649"/>
    <w:rsid w:val="00CE143A"/>
    <w:rsid w:val="00CE6E32"/>
    <w:rsid w:val="00CE703E"/>
    <w:rsid w:val="00CF125C"/>
    <w:rsid w:val="00CF2F70"/>
    <w:rsid w:val="00D00CB9"/>
    <w:rsid w:val="00D0215A"/>
    <w:rsid w:val="00D05635"/>
    <w:rsid w:val="00D0770E"/>
    <w:rsid w:val="00D07B0F"/>
    <w:rsid w:val="00D13D76"/>
    <w:rsid w:val="00D16194"/>
    <w:rsid w:val="00D20F5A"/>
    <w:rsid w:val="00D21175"/>
    <w:rsid w:val="00D22A97"/>
    <w:rsid w:val="00D23AA4"/>
    <w:rsid w:val="00D25C97"/>
    <w:rsid w:val="00D25DBD"/>
    <w:rsid w:val="00D31BB6"/>
    <w:rsid w:val="00D35343"/>
    <w:rsid w:val="00D37672"/>
    <w:rsid w:val="00D40F29"/>
    <w:rsid w:val="00D42F1C"/>
    <w:rsid w:val="00D43C1B"/>
    <w:rsid w:val="00D46CB2"/>
    <w:rsid w:val="00D4730C"/>
    <w:rsid w:val="00D50AAE"/>
    <w:rsid w:val="00D561D6"/>
    <w:rsid w:val="00D56A7D"/>
    <w:rsid w:val="00D610DD"/>
    <w:rsid w:val="00D611FF"/>
    <w:rsid w:val="00D7114C"/>
    <w:rsid w:val="00D733A7"/>
    <w:rsid w:val="00D73CB7"/>
    <w:rsid w:val="00D74674"/>
    <w:rsid w:val="00D75BEA"/>
    <w:rsid w:val="00D7664E"/>
    <w:rsid w:val="00D779B1"/>
    <w:rsid w:val="00D817C5"/>
    <w:rsid w:val="00D82B2C"/>
    <w:rsid w:val="00D87746"/>
    <w:rsid w:val="00D878A8"/>
    <w:rsid w:val="00DA1F69"/>
    <w:rsid w:val="00DA4465"/>
    <w:rsid w:val="00DB11AE"/>
    <w:rsid w:val="00DB576C"/>
    <w:rsid w:val="00DB5BFB"/>
    <w:rsid w:val="00DC0139"/>
    <w:rsid w:val="00DD00CA"/>
    <w:rsid w:val="00DD0835"/>
    <w:rsid w:val="00DD4058"/>
    <w:rsid w:val="00DD4647"/>
    <w:rsid w:val="00DE44B8"/>
    <w:rsid w:val="00DE7E09"/>
    <w:rsid w:val="00DF1E55"/>
    <w:rsid w:val="00DF314B"/>
    <w:rsid w:val="00DF3576"/>
    <w:rsid w:val="00DF4335"/>
    <w:rsid w:val="00E0051B"/>
    <w:rsid w:val="00E01808"/>
    <w:rsid w:val="00E02BC7"/>
    <w:rsid w:val="00E069C5"/>
    <w:rsid w:val="00E06D4C"/>
    <w:rsid w:val="00E06E9F"/>
    <w:rsid w:val="00E120CB"/>
    <w:rsid w:val="00E122AF"/>
    <w:rsid w:val="00E147BE"/>
    <w:rsid w:val="00E14F01"/>
    <w:rsid w:val="00E207D6"/>
    <w:rsid w:val="00E2212F"/>
    <w:rsid w:val="00E3315C"/>
    <w:rsid w:val="00E33E5C"/>
    <w:rsid w:val="00E34EF9"/>
    <w:rsid w:val="00E35422"/>
    <w:rsid w:val="00E420DA"/>
    <w:rsid w:val="00E46EC7"/>
    <w:rsid w:val="00E51CF5"/>
    <w:rsid w:val="00E53578"/>
    <w:rsid w:val="00E55AC1"/>
    <w:rsid w:val="00E574A4"/>
    <w:rsid w:val="00E65B49"/>
    <w:rsid w:val="00E715A4"/>
    <w:rsid w:val="00E7237A"/>
    <w:rsid w:val="00E8498B"/>
    <w:rsid w:val="00E84EB0"/>
    <w:rsid w:val="00E84F36"/>
    <w:rsid w:val="00E85E3A"/>
    <w:rsid w:val="00E86B49"/>
    <w:rsid w:val="00E92269"/>
    <w:rsid w:val="00E92348"/>
    <w:rsid w:val="00E945C0"/>
    <w:rsid w:val="00E95AD6"/>
    <w:rsid w:val="00E95EC1"/>
    <w:rsid w:val="00EA1AF5"/>
    <w:rsid w:val="00EA5EC4"/>
    <w:rsid w:val="00EA788A"/>
    <w:rsid w:val="00EB46B2"/>
    <w:rsid w:val="00EB6E63"/>
    <w:rsid w:val="00EC12F1"/>
    <w:rsid w:val="00EC277B"/>
    <w:rsid w:val="00EC5C45"/>
    <w:rsid w:val="00EC79B7"/>
    <w:rsid w:val="00ED0B2B"/>
    <w:rsid w:val="00ED1DA3"/>
    <w:rsid w:val="00ED4818"/>
    <w:rsid w:val="00EE2C78"/>
    <w:rsid w:val="00EE3EED"/>
    <w:rsid w:val="00EE456D"/>
    <w:rsid w:val="00EE75F5"/>
    <w:rsid w:val="00EE7652"/>
    <w:rsid w:val="00F00E78"/>
    <w:rsid w:val="00F16B04"/>
    <w:rsid w:val="00F17155"/>
    <w:rsid w:val="00F2296C"/>
    <w:rsid w:val="00F3311B"/>
    <w:rsid w:val="00F41255"/>
    <w:rsid w:val="00F46960"/>
    <w:rsid w:val="00F474F3"/>
    <w:rsid w:val="00F537B7"/>
    <w:rsid w:val="00F612FB"/>
    <w:rsid w:val="00F61714"/>
    <w:rsid w:val="00F61E65"/>
    <w:rsid w:val="00F62091"/>
    <w:rsid w:val="00F708B1"/>
    <w:rsid w:val="00F71459"/>
    <w:rsid w:val="00F73C6B"/>
    <w:rsid w:val="00F73F59"/>
    <w:rsid w:val="00F75BE2"/>
    <w:rsid w:val="00F81733"/>
    <w:rsid w:val="00F83D50"/>
    <w:rsid w:val="00F86733"/>
    <w:rsid w:val="00F92E90"/>
    <w:rsid w:val="00FA4DF5"/>
    <w:rsid w:val="00FA50C1"/>
    <w:rsid w:val="00FA691D"/>
    <w:rsid w:val="00FA7860"/>
    <w:rsid w:val="00FC2CAE"/>
    <w:rsid w:val="00FC44C3"/>
    <w:rsid w:val="00FC5586"/>
    <w:rsid w:val="00FC61CB"/>
    <w:rsid w:val="00FD0EA7"/>
    <w:rsid w:val="00FD290C"/>
    <w:rsid w:val="00FE3277"/>
    <w:rsid w:val="00FE34FE"/>
    <w:rsid w:val="00FE4B01"/>
    <w:rsid w:val="00FE63C0"/>
    <w:rsid w:val="00FF26C0"/>
    <w:rsid w:val="00FF412C"/>
    <w:rsid w:val="00FF5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7F8CF"/>
  <w15:docId w15:val="{35964498-2441-4A18-AF39-D202EAFD6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3485"/>
    <w:pPr>
      <w:spacing w:after="0" w:line="240" w:lineRule="auto"/>
    </w:pPr>
    <w:rPr>
      <w:rFonts w:ascii="Times New Roman" w:eastAsia="Times New Roman" w:hAnsi="Times New Roman" w:cs="Times New Roman"/>
      <w:sz w:val="24"/>
      <w:szCs w:val="24"/>
      <w:lang w:eastAsia="cs-CZ"/>
    </w:rPr>
  </w:style>
  <w:style w:type="paragraph" w:styleId="Nadpis1">
    <w:name w:val="heading 1"/>
    <w:aliases w:val="2,3...,@kap,BP 1"/>
    <w:basedOn w:val="Normln"/>
    <w:next w:val="Zkladntext"/>
    <w:link w:val="Nadpis1Char"/>
    <w:qFormat/>
    <w:rsid w:val="001D55C5"/>
    <w:pPr>
      <w:keepNext/>
      <w:keepLines/>
      <w:numPr>
        <w:numId w:val="1"/>
      </w:numPr>
      <w:pBdr>
        <w:top w:val="single" w:sz="48" w:space="3" w:color="808080"/>
      </w:pBdr>
      <w:spacing w:before="120" w:after="120" w:line="360" w:lineRule="auto"/>
      <w:jc w:val="both"/>
      <w:outlineLvl w:val="0"/>
    </w:pPr>
    <w:rPr>
      <w:b/>
      <w:smallCaps/>
      <w:sz w:val="28"/>
      <w:szCs w:val="20"/>
      <w:lang w:val="nl-NL"/>
    </w:rPr>
  </w:style>
  <w:style w:type="paragraph" w:styleId="Nadpis2">
    <w:name w:val="heading 2"/>
    <w:aliases w:val="1.1,BP 2"/>
    <w:basedOn w:val="Zkladntext"/>
    <w:next w:val="Zkladntext"/>
    <w:link w:val="Nadpis2Char"/>
    <w:qFormat/>
    <w:rsid w:val="00323485"/>
    <w:pPr>
      <w:keepNext/>
      <w:keepLines/>
      <w:numPr>
        <w:ilvl w:val="1"/>
        <w:numId w:val="1"/>
      </w:numPr>
      <w:pBdr>
        <w:top w:val="single" w:sz="36" w:space="3" w:color="808080"/>
      </w:pBdr>
      <w:shd w:val="clear" w:color="FFFFFF" w:fill="auto"/>
      <w:spacing w:before="120" w:line="480" w:lineRule="auto"/>
      <w:ind w:right="4253"/>
      <w:outlineLvl w:val="1"/>
    </w:pPr>
    <w:rPr>
      <w:b/>
      <w:szCs w:val="20"/>
      <w:lang w:val="nl-NL" w:eastAsia="en-US"/>
    </w:rPr>
  </w:style>
  <w:style w:type="paragraph" w:styleId="Nadpis3">
    <w:name w:val="heading 3"/>
    <w:aliases w:val="1.1.1,h3,pozice"/>
    <w:basedOn w:val="Zkladntext"/>
    <w:next w:val="Zkladntext"/>
    <w:link w:val="Nadpis3Char"/>
    <w:qFormat/>
    <w:rsid w:val="00323485"/>
    <w:pPr>
      <w:keepNext/>
      <w:keepLines/>
      <w:numPr>
        <w:ilvl w:val="2"/>
        <w:numId w:val="1"/>
      </w:numPr>
      <w:spacing w:before="120" w:line="360" w:lineRule="auto"/>
      <w:ind w:right="2835"/>
      <w:outlineLvl w:val="2"/>
    </w:pPr>
    <w:rPr>
      <w:b/>
      <w:sz w:val="22"/>
      <w:szCs w:val="20"/>
      <w:lang w:val="nl-NL" w:eastAsia="en-US"/>
    </w:rPr>
  </w:style>
  <w:style w:type="paragraph" w:styleId="Nadpis4">
    <w:name w:val="heading 4"/>
    <w:aliases w:val="1.1.1.1"/>
    <w:basedOn w:val="Zkladntext"/>
    <w:next w:val="Zkladntext"/>
    <w:link w:val="Nadpis4Char"/>
    <w:qFormat/>
    <w:rsid w:val="00323485"/>
    <w:pPr>
      <w:keepNext/>
      <w:keepLines/>
      <w:numPr>
        <w:ilvl w:val="3"/>
        <w:numId w:val="1"/>
      </w:numPr>
      <w:spacing w:before="60"/>
      <w:outlineLvl w:val="3"/>
    </w:pPr>
    <w:rPr>
      <w:rFonts w:ascii="Arial" w:hAnsi="Arial"/>
      <w:b/>
      <w:sz w:val="16"/>
      <w:szCs w:val="20"/>
      <w:lang w:val="nl-NL" w:eastAsia="en-US"/>
    </w:rPr>
  </w:style>
  <w:style w:type="paragraph" w:styleId="Nadpis5">
    <w:name w:val="heading 5"/>
    <w:basedOn w:val="Zkladntext"/>
    <w:next w:val="Zkladntext"/>
    <w:link w:val="Nadpis5Char"/>
    <w:qFormat/>
    <w:rsid w:val="00323485"/>
    <w:pPr>
      <w:keepNext/>
      <w:keepLines/>
      <w:numPr>
        <w:ilvl w:val="4"/>
        <w:numId w:val="1"/>
      </w:numPr>
      <w:jc w:val="both"/>
      <w:outlineLvl w:val="4"/>
    </w:pPr>
    <w:rPr>
      <w:b/>
      <w:i/>
      <w:sz w:val="22"/>
      <w:szCs w:val="20"/>
      <w:lang w:val="nl-NL" w:eastAsia="en-US"/>
    </w:rPr>
  </w:style>
  <w:style w:type="paragraph" w:styleId="Nadpis6">
    <w:name w:val="heading 6"/>
    <w:basedOn w:val="Normln"/>
    <w:next w:val="Normlnodsazen"/>
    <w:link w:val="Nadpis6Char"/>
    <w:qFormat/>
    <w:rsid w:val="00323485"/>
    <w:pPr>
      <w:numPr>
        <w:ilvl w:val="5"/>
        <w:numId w:val="1"/>
      </w:numPr>
      <w:tabs>
        <w:tab w:val="right" w:leader="dot" w:pos="9072"/>
      </w:tabs>
      <w:spacing w:after="60"/>
      <w:jc w:val="both"/>
      <w:outlineLvl w:val="5"/>
    </w:pPr>
    <w:rPr>
      <w:rFonts w:ascii="Times" w:hAnsi="Times"/>
      <w:sz w:val="20"/>
      <w:szCs w:val="20"/>
      <w:u w:val="single"/>
      <w:lang w:val="nl-NL"/>
    </w:rPr>
  </w:style>
  <w:style w:type="paragraph" w:styleId="Nadpis7">
    <w:name w:val="heading 7"/>
    <w:basedOn w:val="Normln"/>
    <w:next w:val="Normlnodsazen"/>
    <w:link w:val="Nadpis7Char"/>
    <w:qFormat/>
    <w:rsid w:val="00323485"/>
    <w:pPr>
      <w:numPr>
        <w:ilvl w:val="6"/>
        <w:numId w:val="1"/>
      </w:numPr>
      <w:tabs>
        <w:tab w:val="right" w:leader="dot" w:pos="9072"/>
      </w:tabs>
      <w:spacing w:after="60"/>
      <w:jc w:val="both"/>
      <w:outlineLvl w:val="6"/>
    </w:pPr>
    <w:rPr>
      <w:rFonts w:ascii="Times" w:hAnsi="Times"/>
      <w:i/>
      <w:sz w:val="20"/>
      <w:szCs w:val="20"/>
      <w:lang w:val="nl-NL"/>
    </w:rPr>
  </w:style>
  <w:style w:type="paragraph" w:styleId="Nadpis8">
    <w:name w:val="heading 8"/>
    <w:basedOn w:val="Normln"/>
    <w:next w:val="Normlnodsazen"/>
    <w:link w:val="Nadpis8Char"/>
    <w:qFormat/>
    <w:rsid w:val="00323485"/>
    <w:pPr>
      <w:numPr>
        <w:ilvl w:val="7"/>
        <w:numId w:val="1"/>
      </w:numPr>
      <w:tabs>
        <w:tab w:val="right" w:leader="dot" w:pos="9072"/>
      </w:tabs>
      <w:spacing w:after="60"/>
      <w:jc w:val="both"/>
      <w:outlineLvl w:val="7"/>
    </w:pPr>
    <w:rPr>
      <w:rFonts w:ascii="Times" w:hAnsi="Times"/>
      <w:i/>
      <w:sz w:val="20"/>
      <w:szCs w:val="20"/>
      <w:lang w:val="nl-NL"/>
    </w:rPr>
  </w:style>
  <w:style w:type="paragraph" w:styleId="Nadpis9">
    <w:name w:val="heading 9"/>
    <w:basedOn w:val="Normln"/>
    <w:next w:val="Normlnodsazen"/>
    <w:link w:val="Nadpis9Char"/>
    <w:qFormat/>
    <w:rsid w:val="00323485"/>
    <w:pPr>
      <w:numPr>
        <w:ilvl w:val="8"/>
        <w:numId w:val="1"/>
      </w:numPr>
      <w:tabs>
        <w:tab w:val="right" w:leader="dot" w:pos="9072"/>
      </w:tabs>
      <w:spacing w:after="60"/>
      <w:jc w:val="both"/>
      <w:outlineLvl w:val="8"/>
    </w:pPr>
    <w:rPr>
      <w:rFonts w:ascii="Times" w:hAnsi="Times"/>
      <w:i/>
      <w:sz w:val="20"/>
      <w:szCs w:val="20"/>
      <w:lang w:val="nl-N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2 Char,3... Char,@kap Char,BP 1 Char"/>
    <w:basedOn w:val="Standardnpsmoodstavce"/>
    <w:link w:val="Nadpis1"/>
    <w:rsid w:val="00323485"/>
    <w:rPr>
      <w:rFonts w:ascii="Times New Roman" w:eastAsia="Times New Roman" w:hAnsi="Times New Roman" w:cs="Times New Roman"/>
      <w:b/>
      <w:smallCaps/>
      <w:sz w:val="28"/>
      <w:szCs w:val="20"/>
      <w:lang w:val="nl-NL" w:eastAsia="cs-CZ"/>
    </w:rPr>
  </w:style>
  <w:style w:type="character" w:customStyle="1" w:styleId="Nadpis2Char">
    <w:name w:val="Nadpis 2 Char"/>
    <w:aliases w:val="1.1 Char,BP 2 Char"/>
    <w:basedOn w:val="Standardnpsmoodstavce"/>
    <w:link w:val="Nadpis2"/>
    <w:rsid w:val="00323485"/>
    <w:rPr>
      <w:rFonts w:ascii="Times New Roman" w:eastAsia="Times New Roman" w:hAnsi="Times New Roman" w:cs="Times New Roman"/>
      <w:b/>
      <w:sz w:val="24"/>
      <w:szCs w:val="20"/>
      <w:shd w:val="clear" w:color="FFFFFF" w:fill="auto"/>
      <w:lang w:val="nl-NL"/>
    </w:rPr>
  </w:style>
  <w:style w:type="character" w:customStyle="1" w:styleId="Nadpis3Char">
    <w:name w:val="Nadpis 3 Char"/>
    <w:aliases w:val="1.1.1 Char,h3 Char,pozice Char"/>
    <w:basedOn w:val="Standardnpsmoodstavce"/>
    <w:link w:val="Nadpis3"/>
    <w:rsid w:val="00323485"/>
    <w:rPr>
      <w:rFonts w:ascii="Times New Roman" w:eastAsia="Times New Roman" w:hAnsi="Times New Roman" w:cs="Times New Roman"/>
      <w:b/>
      <w:szCs w:val="20"/>
      <w:lang w:val="nl-NL"/>
    </w:rPr>
  </w:style>
  <w:style w:type="character" w:customStyle="1" w:styleId="Nadpis4Char">
    <w:name w:val="Nadpis 4 Char"/>
    <w:aliases w:val="1.1.1.1 Char"/>
    <w:basedOn w:val="Standardnpsmoodstavce"/>
    <w:link w:val="Nadpis4"/>
    <w:rsid w:val="00323485"/>
    <w:rPr>
      <w:rFonts w:ascii="Arial" w:eastAsia="Times New Roman" w:hAnsi="Arial" w:cs="Times New Roman"/>
      <w:b/>
      <w:sz w:val="16"/>
      <w:szCs w:val="20"/>
      <w:lang w:val="nl-NL"/>
    </w:rPr>
  </w:style>
  <w:style w:type="character" w:customStyle="1" w:styleId="Nadpis5Char">
    <w:name w:val="Nadpis 5 Char"/>
    <w:basedOn w:val="Standardnpsmoodstavce"/>
    <w:link w:val="Nadpis5"/>
    <w:rsid w:val="00323485"/>
    <w:rPr>
      <w:rFonts w:ascii="Times New Roman" w:eastAsia="Times New Roman" w:hAnsi="Times New Roman" w:cs="Times New Roman"/>
      <w:b/>
      <w:i/>
      <w:szCs w:val="20"/>
      <w:lang w:val="nl-NL"/>
    </w:rPr>
  </w:style>
  <w:style w:type="character" w:customStyle="1" w:styleId="Nadpis6Char">
    <w:name w:val="Nadpis 6 Char"/>
    <w:basedOn w:val="Standardnpsmoodstavce"/>
    <w:link w:val="Nadpis6"/>
    <w:rsid w:val="00323485"/>
    <w:rPr>
      <w:rFonts w:ascii="Times" w:eastAsia="Times New Roman" w:hAnsi="Times" w:cs="Times New Roman"/>
      <w:sz w:val="20"/>
      <w:szCs w:val="20"/>
      <w:u w:val="single"/>
      <w:lang w:val="nl-NL" w:eastAsia="cs-CZ"/>
    </w:rPr>
  </w:style>
  <w:style w:type="character" w:customStyle="1" w:styleId="Nadpis7Char">
    <w:name w:val="Nadpis 7 Char"/>
    <w:basedOn w:val="Standardnpsmoodstavce"/>
    <w:link w:val="Nadpis7"/>
    <w:rsid w:val="00323485"/>
    <w:rPr>
      <w:rFonts w:ascii="Times" w:eastAsia="Times New Roman" w:hAnsi="Times" w:cs="Times New Roman"/>
      <w:i/>
      <w:sz w:val="20"/>
      <w:szCs w:val="20"/>
      <w:lang w:val="nl-NL" w:eastAsia="cs-CZ"/>
    </w:rPr>
  </w:style>
  <w:style w:type="character" w:customStyle="1" w:styleId="Nadpis8Char">
    <w:name w:val="Nadpis 8 Char"/>
    <w:basedOn w:val="Standardnpsmoodstavce"/>
    <w:link w:val="Nadpis8"/>
    <w:rsid w:val="00323485"/>
    <w:rPr>
      <w:rFonts w:ascii="Times" w:eastAsia="Times New Roman" w:hAnsi="Times" w:cs="Times New Roman"/>
      <w:i/>
      <w:sz w:val="20"/>
      <w:szCs w:val="20"/>
      <w:lang w:val="nl-NL" w:eastAsia="cs-CZ"/>
    </w:rPr>
  </w:style>
  <w:style w:type="character" w:customStyle="1" w:styleId="Nadpis9Char">
    <w:name w:val="Nadpis 9 Char"/>
    <w:basedOn w:val="Standardnpsmoodstavce"/>
    <w:link w:val="Nadpis9"/>
    <w:rsid w:val="00323485"/>
    <w:rPr>
      <w:rFonts w:ascii="Times" w:eastAsia="Times New Roman" w:hAnsi="Times" w:cs="Times New Roman"/>
      <w:i/>
      <w:sz w:val="20"/>
      <w:szCs w:val="20"/>
      <w:lang w:val="nl-NL" w:eastAsia="cs-CZ"/>
    </w:rPr>
  </w:style>
  <w:style w:type="paragraph" w:styleId="Zhlav">
    <w:name w:val="header"/>
    <w:basedOn w:val="Normln"/>
    <w:link w:val="ZhlavChar"/>
    <w:rsid w:val="00323485"/>
    <w:pPr>
      <w:tabs>
        <w:tab w:val="center" w:pos="4536"/>
        <w:tab w:val="right" w:pos="9072"/>
      </w:tabs>
    </w:pPr>
  </w:style>
  <w:style w:type="character" w:customStyle="1" w:styleId="ZhlavChar">
    <w:name w:val="Záhlaví Char"/>
    <w:basedOn w:val="Standardnpsmoodstavce"/>
    <w:link w:val="Zhlav"/>
    <w:rsid w:val="00323485"/>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323485"/>
    <w:pPr>
      <w:tabs>
        <w:tab w:val="center" w:pos="4536"/>
        <w:tab w:val="right" w:pos="9072"/>
      </w:tabs>
    </w:pPr>
  </w:style>
  <w:style w:type="character" w:customStyle="1" w:styleId="ZpatChar">
    <w:name w:val="Zápatí Char"/>
    <w:basedOn w:val="Standardnpsmoodstavce"/>
    <w:link w:val="Zpat"/>
    <w:uiPriority w:val="99"/>
    <w:rsid w:val="00323485"/>
    <w:rPr>
      <w:rFonts w:ascii="Times New Roman" w:eastAsia="Times New Roman" w:hAnsi="Times New Roman" w:cs="Times New Roman"/>
      <w:sz w:val="24"/>
      <w:szCs w:val="24"/>
      <w:lang w:eastAsia="cs-CZ"/>
    </w:rPr>
  </w:style>
  <w:style w:type="character" w:styleId="Hypertextovodkaz">
    <w:name w:val="Hyperlink"/>
    <w:uiPriority w:val="99"/>
    <w:rsid w:val="00323485"/>
    <w:rPr>
      <w:color w:val="0000FF"/>
      <w:u w:val="single"/>
    </w:rPr>
  </w:style>
  <w:style w:type="paragraph" w:styleId="Odstavecseseznamem">
    <w:name w:val="List Paragraph"/>
    <w:basedOn w:val="Normln"/>
    <w:link w:val="OdstavecseseznamemChar"/>
    <w:uiPriority w:val="34"/>
    <w:qFormat/>
    <w:rsid w:val="00323485"/>
    <w:pPr>
      <w:ind w:left="720"/>
      <w:contextualSpacing/>
    </w:pPr>
    <w:rPr>
      <w:rFonts w:ascii="Calibri" w:eastAsia="Calibri" w:hAnsi="Calibri"/>
      <w:color w:val="000000"/>
      <w:szCs w:val="26"/>
      <w:lang w:eastAsia="en-US"/>
    </w:rPr>
  </w:style>
  <w:style w:type="character" w:styleId="Zdraznn">
    <w:name w:val="Emphasis"/>
    <w:uiPriority w:val="20"/>
    <w:qFormat/>
    <w:rsid w:val="00323485"/>
    <w:rPr>
      <w:i/>
      <w:iCs/>
    </w:rPr>
  </w:style>
  <w:style w:type="paragraph" w:styleId="Obsah1">
    <w:name w:val="toc 1"/>
    <w:basedOn w:val="Normln"/>
    <w:next w:val="Normln"/>
    <w:autoRedefine/>
    <w:uiPriority w:val="39"/>
    <w:unhideWhenUsed/>
    <w:rsid w:val="00323485"/>
  </w:style>
  <w:style w:type="paragraph" w:customStyle="1" w:styleId="Normbezodsazen">
    <w:name w:val="Norm. bez odsazení"/>
    <w:basedOn w:val="Normln"/>
    <w:link w:val="NormbezodsazenChar"/>
    <w:qFormat/>
    <w:rsid w:val="00323485"/>
    <w:pPr>
      <w:spacing w:before="120" w:after="120" w:line="360" w:lineRule="auto"/>
      <w:jc w:val="both"/>
    </w:pPr>
  </w:style>
  <w:style w:type="character" w:customStyle="1" w:styleId="NormbezodsazenChar">
    <w:name w:val="Norm. bez odsazení Char"/>
    <w:basedOn w:val="Standardnpsmoodstavce"/>
    <w:link w:val="Normbezodsazen"/>
    <w:rsid w:val="00323485"/>
    <w:rPr>
      <w:rFonts w:ascii="Times New Roman" w:eastAsia="Times New Roman" w:hAnsi="Times New Roman" w:cs="Times New Roman"/>
      <w:sz w:val="24"/>
      <w:szCs w:val="24"/>
      <w:lang w:eastAsia="cs-CZ"/>
    </w:rPr>
  </w:style>
  <w:style w:type="paragraph" w:customStyle="1" w:styleId="Textnormy">
    <w:name w:val="Text normy"/>
    <w:rsid w:val="00323485"/>
    <w:pPr>
      <w:suppressAutoHyphens/>
      <w:spacing w:after="120" w:line="240" w:lineRule="auto"/>
      <w:jc w:val="both"/>
    </w:pPr>
    <w:rPr>
      <w:rFonts w:ascii="Arial" w:eastAsia="Arial" w:hAnsi="Arial" w:cs="Times New Roman"/>
      <w:sz w:val="20"/>
      <w:szCs w:val="20"/>
      <w:lang w:eastAsia="ar-SA"/>
    </w:rPr>
  </w:style>
  <w:style w:type="character" w:customStyle="1" w:styleId="blacktextbig">
    <w:name w:val="black_text_big"/>
    <w:basedOn w:val="Standardnpsmoodstavce"/>
    <w:rsid w:val="00323485"/>
  </w:style>
  <w:style w:type="paragraph" w:styleId="Bezmezer">
    <w:name w:val="No Spacing"/>
    <w:aliases w:val="Normální s odsazením,TEXT"/>
    <w:link w:val="BezmezerChar"/>
    <w:uiPriority w:val="1"/>
    <w:qFormat/>
    <w:rsid w:val="00323485"/>
    <w:pPr>
      <w:widowControl w:val="0"/>
      <w:suppressAutoHyphens/>
      <w:autoSpaceDN w:val="0"/>
      <w:spacing w:after="0" w:line="240" w:lineRule="auto"/>
      <w:textAlignment w:val="baseline"/>
    </w:pPr>
    <w:rPr>
      <w:rFonts w:eastAsia="Lucida Sans Unicode" w:cs="Mangal"/>
      <w:kern w:val="3"/>
      <w:szCs w:val="21"/>
      <w:lang w:eastAsia="zh-CN" w:bidi="hi-IN"/>
    </w:rPr>
  </w:style>
  <w:style w:type="paragraph" w:styleId="Zkladntext">
    <w:name w:val="Body Text"/>
    <w:basedOn w:val="Normln"/>
    <w:link w:val="ZkladntextChar"/>
    <w:uiPriority w:val="99"/>
    <w:unhideWhenUsed/>
    <w:rsid w:val="00323485"/>
    <w:pPr>
      <w:spacing w:after="120"/>
    </w:pPr>
  </w:style>
  <w:style w:type="character" w:customStyle="1" w:styleId="ZkladntextChar">
    <w:name w:val="Základní text Char"/>
    <w:basedOn w:val="Standardnpsmoodstavce"/>
    <w:link w:val="Zkladntext"/>
    <w:uiPriority w:val="99"/>
    <w:rsid w:val="00323485"/>
    <w:rPr>
      <w:rFonts w:ascii="Times New Roman" w:eastAsia="Times New Roman" w:hAnsi="Times New Roman" w:cs="Times New Roman"/>
      <w:sz w:val="24"/>
      <w:szCs w:val="24"/>
      <w:lang w:eastAsia="cs-CZ"/>
    </w:rPr>
  </w:style>
  <w:style w:type="paragraph" w:styleId="Normlnodsazen">
    <w:name w:val="Normal Indent"/>
    <w:basedOn w:val="Normln"/>
    <w:uiPriority w:val="99"/>
    <w:semiHidden/>
    <w:unhideWhenUsed/>
    <w:rsid w:val="00323485"/>
    <w:pPr>
      <w:ind w:left="708"/>
    </w:pPr>
  </w:style>
  <w:style w:type="paragraph" w:styleId="Textbubliny">
    <w:name w:val="Balloon Text"/>
    <w:basedOn w:val="Normln"/>
    <w:link w:val="TextbublinyChar"/>
    <w:uiPriority w:val="99"/>
    <w:semiHidden/>
    <w:unhideWhenUsed/>
    <w:rsid w:val="00323485"/>
    <w:rPr>
      <w:rFonts w:ascii="Tahoma" w:hAnsi="Tahoma" w:cs="Tahoma"/>
      <w:sz w:val="16"/>
      <w:szCs w:val="16"/>
    </w:rPr>
  </w:style>
  <w:style w:type="character" w:customStyle="1" w:styleId="TextbublinyChar">
    <w:name w:val="Text bubliny Char"/>
    <w:basedOn w:val="Standardnpsmoodstavce"/>
    <w:link w:val="Textbubliny"/>
    <w:uiPriority w:val="99"/>
    <w:semiHidden/>
    <w:rsid w:val="00323485"/>
    <w:rPr>
      <w:rFonts w:ascii="Tahoma" w:eastAsia="Times New Roman" w:hAnsi="Tahoma" w:cs="Tahoma"/>
      <w:sz w:val="16"/>
      <w:szCs w:val="16"/>
      <w:lang w:eastAsia="cs-CZ"/>
    </w:rPr>
  </w:style>
  <w:style w:type="paragraph" w:styleId="Textkomente">
    <w:name w:val="annotation text"/>
    <w:basedOn w:val="Normln"/>
    <w:link w:val="TextkomenteChar"/>
    <w:uiPriority w:val="99"/>
    <w:unhideWhenUsed/>
    <w:rsid w:val="00F17155"/>
    <w:pPr>
      <w:spacing w:after="160"/>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F17155"/>
    <w:rPr>
      <w:sz w:val="20"/>
      <w:szCs w:val="20"/>
    </w:rPr>
  </w:style>
  <w:style w:type="paragraph" w:customStyle="1" w:styleId="RKnadpissmalypismenem">
    <w:name w:val="RK nadpis s maly pismenem"/>
    <w:basedOn w:val="Normln"/>
    <w:next w:val="Normln"/>
    <w:autoRedefine/>
    <w:rsid w:val="00FD290C"/>
    <w:pPr>
      <w:widowControl w:val="0"/>
      <w:numPr>
        <w:numId w:val="7"/>
      </w:numPr>
      <w:suppressAutoHyphens/>
      <w:autoSpaceDN w:val="0"/>
      <w:spacing w:line="276" w:lineRule="auto"/>
      <w:ind w:left="709"/>
      <w:jc w:val="both"/>
      <w:textAlignment w:val="baseline"/>
    </w:pPr>
    <w:rPr>
      <w:rFonts w:asciiTheme="minorHAnsi" w:eastAsia="Lucida Sans Unicode" w:hAnsiTheme="minorHAnsi" w:cs="Tahoma"/>
      <w:b/>
      <w:bCs/>
      <w:kern w:val="3"/>
      <w:sz w:val="22"/>
      <w:lang w:eastAsia="zh-CN" w:bidi="hi-IN"/>
    </w:rPr>
  </w:style>
  <w:style w:type="numbering" w:customStyle="1" w:styleId="RKcislovanitechzprav">
    <w:name w:val="RK cislovani tech zprav"/>
    <w:basedOn w:val="Bezseznamu"/>
    <w:rsid w:val="00FD290C"/>
    <w:pPr>
      <w:numPr>
        <w:numId w:val="7"/>
      </w:numPr>
    </w:pPr>
  </w:style>
  <w:style w:type="paragraph" w:styleId="Normlnweb">
    <w:name w:val="Normal (Web)"/>
    <w:basedOn w:val="Normln"/>
    <w:uiPriority w:val="99"/>
    <w:unhideWhenUsed/>
    <w:rsid w:val="007B7DC4"/>
    <w:pPr>
      <w:spacing w:before="100" w:beforeAutospacing="1" w:after="100" w:afterAutospacing="1"/>
    </w:pPr>
  </w:style>
  <w:style w:type="paragraph" w:customStyle="1" w:styleId="Textbody">
    <w:name w:val="Text body"/>
    <w:rsid w:val="00831F53"/>
    <w:pPr>
      <w:widowControl w:val="0"/>
      <w:suppressAutoHyphens/>
      <w:autoSpaceDN w:val="0"/>
      <w:spacing w:after="0" w:line="360" w:lineRule="auto"/>
      <w:ind w:left="1134"/>
      <w:textAlignment w:val="baseline"/>
    </w:pPr>
    <w:rPr>
      <w:rFonts w:ascii="Arial" w:eastAsia="Lucida Sans Unicode" w:hAnsi="Arial" w:cs="Tahoma"/>
      <w:kern w:val="3"/>
      <w:sz w:val="20"/>
      <w:szCs w:val="24"/>
      <w:lang w:eastAsia="zh-CN" w:bidi="hi-IN"/>
    </w:rPr>
  </w:style>
  <w:style w:type="table" w:styleId="Mkatabulky">
    <w:name w:val="Table Grid"/>
    <w:basedOn w:val="Normlntabulka"/>
    <w:uiPriority w:val="59"/>
    <w:rsid w:val="00D43C1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prvnodsazen">
    <w:name w:val="Body Text First Indent"/>
    <w:basedOn w:val="Zkladntext"/>
    <w:link w:val="Zkladntext-prvnodsazenChar"/>
    <w:uiPriority w:val="99"/>
    <w:semiHidden/>
    <w:unhideWhenUsed/>
    <w:rsid w:val="00574C42"/>
    <w:pPr>
      <w:spacing w:after="0"/>
      <w:ind w:firstLine="360"/>
    </w:pPr>
  </w:style>
  <w:style w:type="character" w:customStyle="1" w:styleId="Zkladntext-prvnodsazenChar">
    <w:name w:val="Základní text - první odsazený Char"/>
    <w:basedOn w:val="ZkladntextChar"/>
    <w:link w:val="Zkladntext-prvnodsazen"/>
    <w:uiPriority w:val="99"/>
    <w:semiHidden/>
    <w:rsid w:val="00574C42"/>
    <w:rPr>
      <w:rFonts w:ascii="Times New Roman" w:eastAsia="Times New Roman" w:hAnsi="Times New Roman" w:cs="Times New Roman"/>
      <w:sz w:val="24"/>
      <w:szCs w:val="24"/>
      <w:lang w:eastAsia="cs-CZ"/>
    </w:rPr>
  </w:style>
  <w:style w:type="paragraph" w:customStyle="1" w:styleId="RKnadpis1">
    <w:name w:val="RK nadpis 1"/>
    <w:next w:val="Normln"/>
    <w:autoRedefine/>
    <w:rsid w:val="00574C42"/>
    <w:pPr>
      <w:widowControl w:val="0"/>
      <w:tabs>
        <w:tab w:val="center" w:pos="709"/>
        <w:tab w:val="center" w:pos="4819"/>
        <w:tab w:val="right" w:pos="9278"/>
        <w:tab w:val="right" w:pos="9638"/>
      </w:tabs>
      <w:suppressAutoHyphens/>
      <w:autoSpaceDN w:val="0"/>
      <w:spacing w:after="0"/>
      <w:textAlignment w:val="baseline"/>
    </w:pPr>
    <w:rPr>
      <w:rFonts w:eastAsia="Lucida Sans Unicode" w:cs="Tahoma"/>
      <w:b/>
      <w:bCs/>
      <w:kern w:val="3"/>
      <w:szCs w:val="24"/>
      <w:lang w:eastAsia="zh-CN" w:bidi="hi-IN"/>
    </w:rPr>
  </w:style>
  <w:style w:type="character" w:styleId="Odkaznakoment">
    <w:name w:val="annotation reference"/>
    <w:basedOn w:val="Standardnpsmoodstavce"/>
    <w:uiPriority w:val="99"/>
    <w:semiHidden/>
    <w:unhideWhenUsed/>
    <w:rsid w:val="00410AB5"/>
    <w:rPr>
      <w:sz w:val="16"/>
      <w:szCs w:val="16"/>
    </w:rPr>
  </w:style>
  <w:style w:type="paragraph" w:styleId="Pedmtkomente">
    <w:name w:val="annotation subject"/>
    <w:basedOn w:val="Textkomente"/>
    <w:next w:val="Textkomente"/>
    <w:link w:val="PedmtkomenteChar"/>
    <w:uiPriority w:val="99"/>
    <w:semiHidden/>
    <w:unhideWhenUsed/>
    <w:rsid w:val="00410AB5"/>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410AB5"/>
    <w:rPr>
      <w:rFonts w:ascii="Times New Roman" w:eastAsia="Times New Roman" w:hAnsi="Times New Roman" w:cs="Times New Roman"/>
      <w:b/>
      <w:bCs/>
      <w:sz w:val="20"/>
      <w:szCs w:val="20"/>
      <w:lang w:eastAsia="cs-CZ"/>
    </w:rPr>
  </w:style>
  <w:style w:type="character" w:customStyle="1" w:styleId="fn">
    <w:name w:val="fn"/>
    <w:basedOn w:val="Standardnpsmoodstavce"/>
    <w:rsid w:val="00D82B2C"/>
  </w:style>
  <w:style w:type="character" w:customStyle="1" w:styleId="tsubjname">
    <w:name w:val="tsubjname"/>
    <w:basedOn w:val="Standardnpsmoodstavce"/>
    <w:rsid w:val="003E6324"/>
  </w:style>
  <w:style w:type="character" w:customStyle="1" w:styleId="h1a">
    <w:name w:val="h1a"/>
    <w:basedOn w:val="Standardnpsmoodstavce"/>
    <w:rsid w:val="003E6324"/>
  </w:style>
  <w:style w:type="paragraph" w:styleId="Obsah2">
    <w:name w:val="toc 2"/>
    <w:basedOn w:val="Normln"/>
    <w:next w:val="Normln"/>
    <w:autoRedefine/>
    <w:uiPriority w:val="39"/>
    <w:unhideWhenUsed/>
    <w:rsid w:val="00563833"/>
    <w:pPr>
      <w:spacing w:after="100"/>
      <w:ind w:left="240"/>
    </w:pPr>
  </w:style>
  <w:style w:type="character" w:customStyle="1" w:styleId="OdstavecseseznamemChar">
    <w:name w:val="Odstavec se seznamem Char"/>
    <w:basedOn w:val="Standardnpsmoodstavce"/>
    <w:link w:val="Odstavecseseznamem"/>
    <w:uiPriority w:val="34"/>
    <w:rsid w:val="00781D6C"/>
    <w:rPr>
      <w:rFonts w:ascii="Calibri" w:eastAsia="Calibri" w:hAnsi="Calibri" w:cs="Times New Roman"/>
      <w:color w:val="000000"/>
      <w:sz w:val="24"/>
      <w:szCs w:val="26"/>
    </w:rPr>
  </w:style>
  <w:style w:type="character" w:customStyle="1" w:styleId="apple-converted-space">
    <w:name w:val="apple-converted-space"/>
    <w:basedOn w:val="Standardnpsmoodstavce"/>
    <w:rsid w:val="00F00E78"/>
  </w:style>
  <w:style w:type="character" w:customStyle="1" w:styleId="BezmezerChar">
    <w:name w:val="Bez mezer Char"/>
    <w:aliases w:val="Normální s odsazením Char,TEXT Char"/>
    <w:link w:val="Bezmezer"/>
    <w:uiPriority w:val="1"/>
    <w:rsid w:val="00F00E78"/>
    <w:rPr>
      <w:rFonts w:eastAsia="Lucida Sans Unicode" w:cs="Mangal"/>
      <w:kern w:val="3"/>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67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EB92F-3A6C-4AE4-A12C-CBF4685E4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3569</Words>
  <Characters>21063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HAŇA</dc:creator>
  <cp:lastModifiedBy>mmachac</cp:lastModifiedBy>
  <cp:revision>2</cp:revision>
  <cp:lastPrinted>2024-05-24T12:39:00Z</cp:lastPrinted>
  <dcterms:created xsi:type="dcterms:W3CDTF">2024-05-24T12:40:00Z</dcterms:created>
  <dcterms:modified xsi:type="dcterms:W3CDTF">2024-05-24T12:40:00Z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Classification: GENERAL</vt:lpwstr>
  </property>
  <property fmtid="{D5CDD505-2E9C-101B-9397-08002B2CF9AE}" pid="5" name="MSIP_Label_943e0687-f175-4b9c-b2f5-83c4b4db97be_Enabled">
    <vt:lpwstr>true</vt:lpwstr>
  </property>
  <property fmtid="{D5CDD505-2E9C-101B-9397-08002B2CF9AE}" pid="6" name="MSIP_Label_943e0687-f175-4b9c-b2f5-83c4b4db97be_SetDate">
    <vt:lpwstr>2024-04-15T06:37:01Z</vt:lpwstr>
  </property>
  <property fmtid="{D5CDD505-2E9C-101B-9397-08002B2CF9AE}" pid="7" name="MSIP_Label_943e0687-f175-4b9c-b2f5-83c4b4db97be_Method">
    <vt:lpwstr>Standard</vt:lpwstr>
  </property>
  <property fmtid="{D5CDD505-2E9C-101B-9397-08002B2CF9AE}" pid="8" name="MSIP_Label_943e0687-f175-4b9c-b2f5-83c4b4db97be_Name">
    <vt:lpwstr>General (visual mark)</vt:lpwstr>
  </property>
  <property fmtid="{D5CDD505-2E9C-101B-9397-08002B2CF9AE}" pid="9" name="MSIP_Label_943e0687-f175-4b9c-b2f5-83c4b4db97be_SiteId">
    <vt:lpwstr>9b511fda-f0b1-43a5-b06e-1e720f64520a</vt:lpwstr>
  </property>
  <property fmtid="{D5CDD505-2E9C-101B-9397-08002B2CF9AE}" pid="10" name="MSIP_Label_943e0687-f175-4b9c-b2f5-83c4b4db97be_ActionId">
    <vt:lpwstr>41097d23-5a28-42b1-9e78-17104f6cdbf0</vt:lpwstr>
  </property>
  <property fmtid="{D5CDD505-2E9C-101B-9397-08002B2CF9AE}" pid="11" name="MSIP_Label_943e0687-f175-4b9c-b2f5-83c4b4db97be_ContentBits">
    <vt:lpwstr>2</vt:lpwstr>
  </property>
</Properties>
</file>